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7C" w:rsidRPr="003A4B7C" w:rsidRDefault="003A4B7C" w:rsidP="003A4B7C">
      <w:pPr>
        <w:widowControl w:val="0"/>
        <w:suppressAutoHyphens/>
        <w:autoSpaceDE w:val="0"/>
        <w:spacing w:after="0" w:line="240" w:lineRule="auto"/>
        <w:ind w:left="39" w:firstLine="567"/>
        <w:jc w:val="center"/>
        <w:rPr>
          <w:rFonts w:ascii="Times New Roman" w:eastAsia="Arial" w:hAnsi="Times New Roman" w:cs="Times New Roman"/>
          <w:b/>
          <w:sz w:val="24"/>
          <w:szCs w:val="24"/>
          <w:lang w:eastAsia="ru-RU"/>
        </w:rPr>
      </w:pPr>
      <w:r w:rsidRPr="003A4B7C">
        <w:rPr>
          <w:rFonts w:ascii="Times New Roman" w:eastAsia="Arial" w:hAnsi="Times New Roman" w:cs="Times New Roman"/>
          <w:b/>
          <w:sz w:val="24"/>
          <w:szCs w:val="24"/>
          <w:lang w:eastAsia="ru-RU"/>
        </w:rPr>
        <w:t>Лот№ 1</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Для оценки по критерию применяются показатели:</w:t>
      </w:r>
    </w:p>
    <w:p w:rsidR="00765C26" w:rsidRPr="00765C26" w:rsidRDefault="00765C26" w:rsidP="00765C26">
      <w:pPr>
        <w:tabs>
          <w:tab w:val="left" w:pos="748"/>
        </w:tabs>
        <w:autoSpaceDE w:val="0"/>
        <w:autoSpaceDN w:val="0"/>
        <w:spacing w:before="60" w:after="0" w:line="240" w:lineRule="auto"/>
        <w:ind w:left="39"/>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2.1.1 Оказание максимального количества видов услуг, предусмотренных стандартом санаторно-курортного лечения, утвержденным приказом Министерства здравоохранения и социального развития Российской Федерации: </w:t>
      </w:r>
    </w:p>
    <w:p w:rsidR="00B01AFA" w:rsidRPr="00B01AFA" w:rsidRDefault="00B01AFA" w:rsidP="005C5F6A">
      <w:pPr>
        <w:pStyle w:val="a3"/>
        <w:numPr>
          <w:ilvl w:val="0"/>
          <w:numId w:val="2"/>
        </w:numPr>
        <w:spacing w:line="240" w:lineRule="auto"/>
        <w:ind w:left="0" w:firstLine="0"/>
        <w:jc w:val="both"/>
        <w:rPr>
          <w:rFonts w:ascii="Times New Roman" w:eastAsia="Times New Roman" w:hAnsi="Times New Roman" w:cs="Times New Roman"/>
          <w:color w:val="000000"/>
          <w:sz w:val="24"/>
          <w:szCs w:val="24"/>
          <w:lang w:eastAsia="ru-RU"/>
        </w:rPr>
      </w:pPr>
      <w:r w:rsidRPr="00B01AFA">
        <w:rPr>
          <w:rFonts w:ascii="Times New Roman" w:eastAsia="Times New Roman" w:hAnsi="Times New Roman" w:cs="Times New Roman"/>
          <w:color w:val="000000"/>
          <w:sz w:val="24"/>
          <w:szCs w:val="24"/>
          <w:lang w:eastAsia="ru-RU"/>
        </w:rPr>
        <w:t xml:space="preserve">По Классу </w:t>
      </w:r>
      <w:r w:rsidRPr="00D5280E">
        <w:rPr>
          <w:rFonts w:ascii="Times New Roman" w:eastAsia="Times New Roman" w:hAnsi="Times New Roman" w:cs="Times New Roman"/>
          <w:b/>
          <w:color w:val="000000"/>
          <w:sz w:val="24"/>
          <w:szCs w:val="24"/>
          <w:u w:val="single"/>
          <w:lang w:eastAsia="ru-RU"/>
        </w:rPr>
        <w:t>IX МКБ-10 «Болезни системы кровообращения»</w:t>
      </w:r>
      <w:r w:rsidRPr="00B01AFA">
        <w:rPr>
          <w:rFonts w:ascii="Times New Roman" w:eastAsia="Times New Roman" w:hAnsi="Times New Roman" w:cs="Times New Roman"/>
          <w:color w:val="000000"/>
          <w:sz w:val="24"/>
          <w:szCs w:val="24"/>
          <w:lang w:eastAsia="ru-RU"/>
        </w:rPr>
        <w:t xml:space="preserve"> 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B01AFA">
        <w:rPr>
          <w:rFonts w:ascii="Times New Roman" w:eastAsia="Times New Roman" w:hAnsi="Times New Roman" w:cs="Times New Roman"/>
          <w:color w:val="000000"/>
          <w:sz w:val="24"/>
          <w:szCs w:val="24"/>
          <w:lang w:eastAsia="ru-RU"/>
        </w:rPr>
        <w:t>ибс</w:t>
      </w:r>
      <w:proofErr w:type="spellEnd"/>
      <w:r w:rsidRPr="00B01AFA">
        <w:rPr>
          <w:rFonts w:ascii="Times New Roman" w:eastAsia="Times New Roman" w:hAnsi="Times New Roman" w:cs="Times New Roman"/>
          <w:color w:val="000000"/>
          <w:sz w:val="24"/>
          <w:szCs w:val="24"/>
          <w:lang w:eastAsia="ru-RU"/>
        </w:rPr>
        <w:t>.», от 22.11.2004 № 222 «Об утверждении стандарта санаторно-курортной помощи больным с болезнями, характеризующимися повышенным кровяным давлением», от 23.11.2004  № 276 «Об утверждении стандарта санаторно-курортной помощи больным с цереброваскулярными болезнями».</w:t>
      </w:r>
    </w:p>
    <w:p w:rsidR="003645E7" w:rsidRDefault="003645E7" w:rsidP="003645E7">
      <w:pPr>
        <w:widowControl w:val="0"/>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986339">
        <w:rPr>
          <w:rFonts w:ascii="Times New Roman" w:eastAsia="Times New Roman" w:hAnsi="Times New Roman" w:cs="Times New Roman"/>
          <w:color w:val="000000"/>
          <w:sz w:val="24"/>
          <w:szCs w:val="24"/>
          <w:lang w:eastAsia="ru-RU"/>
        </w:rPr>
        <w:t xml:space="preserve">По Классу </w:t>
      </w:r>
      <w:r w:rsidRPr="00A25982">
        <w:rPr>
          <w:rFonts w:ascii="Times New Roman" w:eastAsia="Times New Roman" w:hAnsi="Times New Roman" w:cs="Times New Roman"/>
          <w:b/>
          <w:color w:val="000000"/>
          <w:sz w:val="24"/>
          <w:szCs w:val="24"/>
          <w:u w:val="single"/>
          <w:lang w:eastAsia="ru-RU"/>
        </w:rPr>
        <w:t xml:space="preserve">XIII МКБ-10  «Болезни </w:t>
      </w:r>
      <w:proofErr w:type="spellStart"/>
      <w:r w:rsidRPr="00A25982">
        <w:rPr>
          <w:rFonts w:ascii="Times New Roman" w:eastAsia="Times New Roman" w:hAnsi="Times New Roman" w:cs="Times New Roman"/>
          <w:b/>
          <w:color w:val="000000"/>
          <w:sz w:val="24"/>
          <w:szCs w:val="24"/>
          <w:u w:val="single"/>
          <w:lang w:eastAsia="ru-RU"/>
        </w:rPr>
        <w:t>костно</w:t>
      </w:r>
      <w:proofErr w:type="spellEnd"/>
      <w:r w:rsidRPr="00A25982">
        <w:rPr>
          <w:rFonts w:ascii="Times New Roman" w:eastAsia="Times New Roman" w:hAnsi="Times New Roman" w:cs="Times New Roman"/>
          <w:b/>
          <w:color w:val="000000"/>
          <w:sz w:val="24"/>
          <w:szCs w:val="24"/>
          <w:u w:val="single"/>
          <w:lang w:eastAsia="ru-RU"/>
        </w:rPr>
        <w:t xml:space="preserve"> - мышечной системы и соединительной ткани»</w:t>
      </w:r>
      <w:r w:rsidRPr="00986339">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986339">
        <w:rPr>
          <w:rFonts w:ascii="Times New Roman" w:eastAsia="Times New Roman" w:hAnsi="Times New Roman" w:cs="Times New Roman"/>
          <w:color w:val="000000"/>
          <w:sz w:val="24"/>
          <w:szCs w:val="24"/>
          <w:lang w:eastAsia="ru-RU"/>
        </w:rPr>
        <w:t>дорсопатии</w:t>
      </w:r>
      <w:proofErr w:type="spellEnd"/>
      <w:r w:rsidRPr="00986339">
        <w:rPr>
          <w:rFonts w:ascii="Times New Roman" w:eastAsia="Times New Roman" w:hAnsi="Times New Roman" w:cs="Times New Roman"/>
          <w:color w:val="000000"/>
          <w:sz w:val="24"/>
          <w:szCs w:val="24"/>
          <w:lang w:eastAsia="ru-RU"/>
        </w:rPr>
        <w:t xml:space="preserve">, </w:t>
      </w:r>
      <w:proofErr w:type="spellStart"/>
      <w:r w:rsidRPr="00986339">
        <w:rPr>
          <w:rFonts w:ascii="Times New Roman" w:eastAsia="Times New Roman" w:hAnsi="Times New Roman" w:cs="Times New Roman"/>
          <w:color w:val="000000"/>
          <w:sz w:val="24"/>
          <w:szCs w:val="24"/>
          <w:lang w:eastAsia="ru-RU"/>
        </w:rPr>
        <w:t>спондилопатии</w:t>
      </w:r>
      <w:proofErr w:type="spellEnd"/>
      <w:r w:rsidRPr="00986339">
        <w:rPr>
          <w:rFonts w:ascii="Times New Roman" w:eastAsia="Times New Roman" w:hAnsi="Times New Roman" w:cs="Times New Roman"/>
          <w:color w:val="000000"/>
          <w:sz w:val="24"/>
          <w:szCs w:val="24"/>
          <w:lang w:eastAsia="ru-RU"/>
        </w:rPr>
        <w:t xml:space="preserve">, болезни мягких тканей, </w:t>
      </w:r>
      <w:proofErr w:type="spellStart"/>
      <w:r w:rsidRPr="00986339">
        <w:rPr>
          <w:rFonts w:ascii="Times New Roman" w:eastAsia="Times New Roman" w:hAnsi="Times New Roman" w:cs="Times New Roman"/>
          <w:color w:val="000000"/>
          <w:sz w:val="24"/>
          <w:szCs w:val="24"/>
          <w:lang w:eastAsia="ru-RU"/>
        </w:rPr>
        <w:t>остеопатии</w:t>
      </w:r>
      <w:proofErr w:type="spellEnd"/>
      <w:r w:rsidRPr="00986339">
        <w:rPr>
          <w:rFonts w:ascii="Times New Roman" w:eastAsia="Times New Roman" w:hAnsi="Times New Roman" w:cs="Times New Roman"/>
          <w:color w:val="000000"/>
          <w:sz w:val="24"/>
          <w:szCs w:val="24"/>
          <w:lang w:eastAsia="ru-RU"/>
        </w:rPr>
        <w:t xml:space="preserve"> и </w:t>
      </w:r>
      <w:proofErr w:type="spellStart"/>
      <w:r w:rsidRPr="00986339">
        <w:rPr>
          <w:rFonts w:ascii="Times New Roman" w:eastAsia="Times New Roman" w:hAnsi="Times New Roman" w:cs="Times New Roman"/>
          <w:color w:val="000000"/>
          <w:sz w:val="24"/>
          <w:szCs w:val="24"/>
          <w:lang w:eastAsia="ru-RU"/>
        </w:rPr>
        <w:t>хондропатии</w:t>
      </w:r>
      <w:proofErr w:type="spellEnd"/>
      <w:r w:rsidRPr="00986339">
        <w:rPr>
          <w:rFonts w:ascii="Times New Roman" w:eastAsia="Times New Roman" w:hAnsi="Times New Roman" w:cs="Times New Roman"/>
          <w:color w:val="000000"/>
          <w:sz w:val="24"/>
          <w:szCs w:val="24"/>
          <w:lang w:eastAsia="ru-RU"/>
        </w:rPr>
        <w:t>)», от  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986339">
        <w:rPr>
          <w:rFonts w:ascii="Times New Roman" w:eastAsia="Times New Roman" w:hAnsi="Times New Roman" w:cs="Times New Roman"/>
          <w:color w:val="000000"/>
          <w:sz w:val="24"/>
          <w:szCs w:val="24"/>
          <w:lang w:eastAsia="ru-RU"/>
        </w:rPr>
        <w:t>артропатии</w:t>
      </w:r>
      <w:proofErr w:type="spellEnd"/>
      <w:r w:rsidRPr="00986339">
        <w:rPr>
          <w:rFonts w:ascii="Times New Roman" w:eastAsia="Times New Roman" w:hAnsi="Times New Roman" w:cs="Times New Roman"/>
          <w:color w:val="000000"/>
          <w:sz w:val="24"/>
          <w:szCs w:val="24"/>
          <w:lang w:eastAsia="ru-RU"/>
        </w:rPr>
        <w:t xml:space="preserve">, инфекционные </w:t>
      </w:r>
      <w:proofErr w:type="spellStart"/>
      <w:r w:rsidRPr="00986339">
        <w:rPr>
          <w:rFonts w:ascii="Times New Roman" w:eastAsia="Times New Roman" w:hAnsi="Times New Roman" w:cs="Times New Roman"/>
          <w:color w:val="000000"/>
          <w:sz w:val="24"/>
          <w:szCs w:val="24"/>
          <w:lang w:eastAsia="ru-RU"/>
        </w:rPr>
        <w:t>артропатии</w:t>
      </w:r>
      <w:proofErr w:type="spellEnd"/>
      <w:r w:rsidRPr="00986339">
        <w:rPr>
          <w:rFonts w:ascii="Times New Roman" w:eastAsia="Times New Roman" w:hAnsi="Times New Roman" w:cs="Times New Roman"/>
          <w:color w:val="000000"/>
          <w:sz w:val="24"/>
          <w:szCs w:val="24"/>
          <w:lang w:eastAsia="ru-RU"/>
        </w:rPr>
        <w:t xml:space="preserve">, воспалительные </w:t>
      </w:r>
      <w:proofErr w:type="spellStart"/>
      <w:r w:rsidRPr="00986339">
        <w:rPr>
          <w:rFonts w:ascii="Times New Roman" w:eastAsia="Times New Roman" w:hAnsi="Times New Roman" w:cs="Times New Roman"/>
          <w:color w:val="000000"/>
          <w:sz w:val="24"/>
          <w:szCs w:val="24"/>
          <w:lang w:eastAsia="ru-RU"/>
        </w:rPr>
        <w:t>артропатии</w:t>
      </w:r>
      <w:proofErr w:type="spellEnd"/>
      <w:r w:rsidRPr="00986339">
        <w:rPr>
          <w:rFonts w:ascii="Times New Roman" w:eastAsia="Times New Roman" w:hAnsi="Times New Roman" w:cs="Times New Roman"/>
          <w:color w:val="000000"/>
          <w:sz w:val="24"/>
          <w:szCs w:val="24"/>
          <w:lang w:eastAsia="ru-RU"/>
        </w:rPr>
        <w:t>, артрозы, другие поражения суставов)»</w:t>
      </w:r>
      <w:r w:rsidRPr="00765C26">
        <w:rPr>
          <w:rFonts w:ascii="Times New Roman" w:eastAsia="Times New Roman" w:hAnsi="Times New Roman" w:cs="Times New Roman"/>
          <w:color w:val="000000"/>
          <w:sz w:val="24"/>
          <w:szCs w:val="24"/>
          <w:lang w:eastAsia="ru-RU"/>
        </w:rPr>
        <w:t>;</w:t>
      </w:r>
    </w:p>
    <w:p w:rsidR="003645E7" w:rsidRPr="003645E7" w:rsidRDefault="003645E7" w:rsidP="003645E7">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B01AFA" w:rsidRDefault="00B01AFA" w:rsidP="00056439">
      <w:pPr>
        <w:widowControl w:val="0"/>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B01AFA">
        <w:rPr>
          <w:rFonts w:ascii="Times New Roman" w:eastAsia="Times New Roman" w:hAnsi="Times New Roman" w:cs="Times New Roman"/>
          <w:color w:val="000000"/>
          <w:sz w:val="24"/>
          <w:szCs w:val="24"/>
          <w:lang w:eastAsia="ru-RU"/>
        </w:rPr>
        <w:t xml:space="preserve">По Классу </w:t>
      </w:r>
      <w:r w:rsidRPr="00F11816">
        <w:rPr>
          <w:rFonts w:ascii="Times New Roman" w:eastAsia="Times New Roman" w:hAnsi="Times New Roman" w:cs="Times New Roman"/>
          <w:b/>
          <w:color w:val="000000"/>
          <w:sz w:val="24"/>
          <w:szCs w:val="24"/>
          <w:u w:val="single"/>
          <w:lang w:eastAsia="ru-RU"/>
        </w:rPr>
        <w:t>VI МКБ-10  «Болезни нервной системы»</w:t>
      </w:r>
      <w:r w:rsidRPr="00B01AFA">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B01AFA">
        <w:rPr>
          <w:rFonts w:ascii="Times New Roman" w:eastAsia="Times New Roman" w:hAnsi="Times New Roman" w:cs="Times New Roman"/>
          <w:color w:val="000000"/>
          <w:sz w:val="24"/>
          <w:szCs w:val="24"/>
          <w:lang w:eastAsia="ru-RU"/>
        </w:rPr>
        <w:t>полиневропатиями</w:t>
      </w:r>
      <w:proofErr w:type="spellEnd"/>
      <w:r w:rsidRPr="00B01AFA">
        <w:rPr>
          <w:rFonts w:ascii="Times New Roman" w:eastAsia="Times New Roman" w:hAnsi="Times New Roman" w:cs="Times New Roman"/>
          <w:color w:val="000000"/>
          <w:sz w:val="24"/>
          <w:szCs w:val="24"/>
          <w:lang w:eastAsia="ru-RU"/>
        </w:rPr>
        <w:t xml:space="preserve"> и другими поражениями периферической нервной системы», от 22.11.2004 № 217 «Об утверждении стандарта санаторно-курортной помощи больным с воспалительными болезнями центральной нервной системы» на основании лицензий на осуществление медицинской деятельности при санаторно-курортном лечении (или осуществлении санаторно-курортной помощи);</w:t>
      </w:r>
    </w:p>
    <w:p w:rsidR="00765C26" w:rsidRPr="00765C26" w:rsidRDefault="003645E7" w:rsidP="00056439">
      <w:pPr>
        <w:widowControl w:val="0"/>
        <w:suppressAutoHyphens/>
        <w:autoSpaceDE w:val="0"/>
        <w:autoSpaceDN w:val="0"/>
        <w:adjustRightInd w:val="0"/>
        <w:spacing w:before="60" w:after="0" w:line="240" w:lineRule="auto"/>
        <w:ind w:left="39"/>
        <w:contextualSpacing/>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sz w:val="24"/>
          <w:szCs w:val="24"/>
          <w:lang w:eastAsia="ru-RU"/>
        </w:rPr>
        <w:t xml:space="preserve"> </w:t>
      </w:r>
      <w:r w:rsidR="00765C26" w:rsidRPr="00765C26">
        <w:rPr>
          <w:rFonts w:ascii="Times New Roman" w:eastAsia="Times New Roman" w:hAnsi="Times New Roman" w:cs="Times New Roman"/>
          <w:sz w:val="24"/>
          <w:szCs w:val="24"/>
          <w:lang w:eastAsia="ru-RU"/>
        </w:rPr>
        <w:t xml:space="preserve">(далее – услуги), </w:t>
      </w:r>
      <w:r w:rsidR="00765C26" w:rsidRPr="00765C26">
        <w:rPr>
          <w:rFonts w:ascii="Times New Roman" w:eastAsia="Times New Roman" w:hAnsi="Times New Roman" w:cs="Times New Roman"/>
          <w:b/>
          <w:i/>
          <w:sz w:val="24"/>
          <w:szCs w:val="24"/>
          <w:lang w:eastAsia="ru-RU"/>
        </w:rPr>
        <w:t>без привлечения соисполнителей</w:t>
      </w:r>
      <w:r w:rsidR="00765C26" w:rsidRPr="00765C26">
        <w:rPr>
          <w:rFonts w:ascii="Times New Roman" w:eastAsia="Times New Roman" w:hAnsi="Times New Roman" w:cs="Times New Roman"/>
          <w:b/>
          <w:sz w:val="24"/>
          <w:szCs w:val="24"/>
          <w:lang w:eastAsia="ru-RU"/>
        </w:rPr>
        <w:t>.</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lang w:eastAsia="ar-SA"/>
        </w:rPr>
      </w:pPr>
      <w:r w:rsidRPr="00765C26">
        <w:rPr>
          <w:rFonts w:ascii="Times New Roman" w:eastAsia="Arial" w:hAnsi="Times New Roman" w:cs="Times New Roman"/>
          <w:sz w:val="24"/>
          <w:szCs w:val="24"/>
          <w:lang w:eastAsia="ar-SA"/>
        </w:rPr>
        <w:t xml:space="preserve">Значимость показателя </w:t>
      </w:r>
      <w:r w:rsidRPr="00765C26">
        <w:rPr>
          <w:rFonts w:ascii="Arial" w:eastAsia="Arial" w:hAnsi="Arial" w:cs="Arial"/>
          <w:sz w:val="24"/>
          <w:szCs w:val="24"/>
          <w:lang w:eastAsia="ru-RU"/>
        </w:rPr>
        <w:t xml:space="preserve">– </w:t>
      </w:r>
      <w:r w:rsidRPr="00765C26">
        <w:rPr>
          <w:rFonts w:ascii="Times New Roman" w:eastAsia="Arial" w:hAnsi="Times New Roman" w:cs="Times New Roman"/>
          <w:b/>
          <w:lang w:eastAsia="ru-RU"/>
        </w:rPr>
        <w:t>75</w:t>
      </w:r>
      <w:r w:rsidRPr="00765C26">
        <w:rPr>
          <w:rFonts w:ascii="Times New Roman" w:eastAsia="Arial" w:hAnsi="Times New Roman" w:cs="Times New Roman"/>
          <w:b/>
          <w:lang w:eastAsia="ar-SA"/>
        </w:rPr>
        <w:t>%</w:t>
      </w:r>
      <w:r w:rsidRPr="00765C26">
        <w:rPr>
          <w:rFonts w:ascii="Times New Roman" w:eastAsia="Arial" w:hAnsi="Times New Roman" w:cs="Times New Roman"/>
          <w:lang w:eastAsia="ar-SA"/>
        </w:rPr>
        <w:t>.</w:t>
      </w:r>
    </w:p>
    <w:p w:rsidR="00765C26" w:rsidRPr="00765C26" w:rsidRDefault="00765C26" w:rsidP="00765C26">
      <w:pPr>
        <w:widowControl w:val="0"/>
        <w:suppressAutoHyphens/>
        <w:autoSpaceDE w:val="0"/>
        <w:spacing w:after="0" w:line="240" w:lineRule="auto"/>
        <w:ind w:left="39" w:firstLine="567"/>
        <w:jc w:val="both"/>
        <w:rPr>
          <w:rFonts w:ascii="Times New Roman" w:eastAsia="Calibri" w:hAnsi="Times New Roman" w:cs="Times New Roman"/>
          <w:sz w:val="24"/>
          <w:szCs w:val="24"/>
        </w:rPr>
      </w:pPr>
      <w:r w:rsidRPr="00765C26">
        <w:rPr>
          <w:rFonts w:ascii="Times New Roman" w:eastAsia="Arial" w:hAnsi="Times New Roman" w:cs="Times New Roman"/>
          <w:lang w:eastAsia="ar-SA"/>
        </w:rPr>
        <w:t xml:space="preserve">Коэффициент значимости </w:t>
      </w:r>
      <w:r w:rsidRPr="00765C26">
        <w:rPr>
          <w:rFonts w:ascii="Times New Roman" w:eastAsia="Arial" w:hAnsi="Times New Roman" w:cs="Times New Roman"/>
          <w:lang w:eastAsia="ru-RU"/>
        </w:rPr>
        <w:t xml:space="preserve">– </w:t>
      </w:r>
      <w:r w:rsidRPr="00765C26">
        <w:rPr>
          <w:rFonts w:ascii="Times New Roman" w:eastAsia="Arial" w:hAnsi="Times New Roman" w:cs="Times New Roman"/>
          <w:b/>
          <w:lang w:eastAsia="ar-SA"/>
        </w:rPr>
        <w:t>0,75</w:t>
      </w:r>
      <w:r w:rsidRPr="00765C26">
        <w:rPr>
          <w:rFonts w:ascii="Times New Roman" w:eastAsia="Arial" w:hAnsi="Times New Roman" w:cs="Times New Roman"/>
          <w:sz w:val="24"/>
          <w:szCs w:val="24"/>
          <w:lang w:eastAsia="ar-SA"/>
        </w:rPr>
        <w:t>.</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НЦУС</w:t>
      </w:r>
      <w:proofErr w:type="spellStart"/>
      <w:r w:rsidRPr="00765C26">
        <w:rPr>
          <w:rFonts w:ascii="Times New Roman" w:eastAsia="Arial" w:hAnsi="Times New Roman" w:cs="Times New Roman"/>
          <w:sz w:val="24"/>
          <w:szCs w:val="24"/>
          <w:vertAlign w:val="subscript"/>
          <w:lang w:val="en-US" w:eastAsia="ru-RU"/>
        </w:rPr>
        <w:t>i</w:t>
      </w:r>
      <w:proofErr w:type="spellEnd"/>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=0,75*100х (УС</w:t>
      </w:r>
      <w:proofErr w:type="spellStart"/>
      <w:r w:rsidRPr="00765C26">
        <w:rPr>
          <w:rFonts w:ascii="Times New Roman" w:eastAsia="Arial" w:hAnsi="Times New Roman" w:cs="Times New Roman"/>
          <w:sz w:val="24"/>
          <w:szCs w:val="24"/>
          <w:vertAlign w:val="subscript"/>
          <w:lang w:val="en-US" w:eastAsia="ru-RU"/>
        </w:rPr>
        <w:t>i</w:t>
      </w:r>
      <w:proofErr w:type="spellEnd"/>
      <w:r w:rsidRPr="00765C26">
        <w:rPr>
          <w:rFonts w:ascii="Times New Roman" w:eastAsia="Arial" w:hAnsi="Times New Roman" w:cs="Times New Roman"/>
          <w:sz w:val="24"/>
          <w:szCs w:val="24"/>
          <w:lang w:eastAsia="ru-RU"/>
        </w:rPr>
        <w:t>/УС</w:t>
      </w:r>
      <w:r w:rsidRPr="00765C26">
        <w:rPr>
          <w:rFonts w:ascii="Times New Roman" w:eastAsia="Arial" w:hAnsi="Times New Roman" w:cs="Times New Roman"/>
          <w:sz w:val="24"/>
          <w:szCs w:val="24"/>
          <w:vertAlign w:val="subscript"/>
          <w:lang w:val="en-US" w:eastAsia="ru-RU"/>
        </w:rPr>
        <w:t>max</w:t>
      </w:r>
      <w:r w:rsidRPr="00765C26">
        <w:rPr>
          <w:rFonts w:ascii="Times New Roman" w:eastAsia="Arial" w:hAnsi="Times New Roman" w:cs="Times New Roman"/>
          <w:sz w:val="24"/>
          <w:szCs w:val="24"/>
          <w:lang w:eastAsia="ru-RU"/>
        </w:rPr>
        <w:t xml:space="preserve">), </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 xml:space="preserve">При этом </w:t>
      </w:r>
      <w:bookmarkStart w:id="0" w:name="_GoBack"/>
      <w:bookmarkEnd w:id="0"/>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0,75 – коэффициент значимости показателя,</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УС</w:t>
      </w:r>
      <w:proofErr w:type="spellStart"/>
      <w:r w:rsidRPr="00765C26">
        <w:rPr>
          <w:rFonts w:ascii="Times New Roman" w:eastAsia="Arial" w:hAnsi="Times New Roman" w:cs="Times New Roman"/>
          <w:sz w:val="24"/>
          <w:szCs w:val="24"/>
          <w:vertAlign w:val="subscript"/>
          <w:lang w:val="en-US" w:eastAsia="ru-RU"/>
        </w:rPr>
        <w:t>i</w:t>
      </w:r>
      <w:proofErr w:type="spellEnd"/>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–предложение участника закупки (количество оказываемых услуг по стандарту), заявка которого оценивается</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УС</w:t>
      </w:r>
      <w:r w:rsidRPr="00765C26">
        <w:rPr>
          <w:rFonts w:ascii="Times New Roman" w:eastAsia="Arial" w:hAnsi="Times New Roman" w:cs="Times New Roman"/>
          <w:sz w:val="24"/>
          <w:szCs w:val="24"/>
          <w:vertAlign w:val="subscript"/>
          <w:lang w:val="en-US" w:eastAsia="ru-RU"/>
        </w:rPr>
        <w:t>max</w:t>
      </w:r>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 максимальное предложение (количество оказываемы услуг), в соответствии с указанным стандартом.</w:t>
      </w:r>
    </w:p>
    <w:p w:rsidR="00765C26" w:rsidRPr="00765C26" w:rsidRDefault="00765C26" w:rsidP="00765C26">
      <w:pPr>
        <w:keepNext/>
        <w:widowControl w:val="0"/>
        <w:overflowPunct w:val="0"/>
        <w:autoSpaceDE w:val="0"/>
        <w:autoSpaceDN w:val="0"/>
        <w:adjustRightInd w:val="0"/>
        <w:spacing w:after="0" w:line="240" w:lineRule="auto"/>
        <w:ind w:left="39" w:firstLine="567"/>
        <w:jc w:val="both"/>
        <w:textAlignment w:val="baseline"/>
        <w:rPr>
          <w:rFonts w:ascii="Times New Roman" w:eastAsia="Times New Roman" w:hAnsi="Times New Roman" w:cs="Times New Roman"/>
          <w:bCs/>
          <w:sz w:val="24"/>
          <w:szCs w:val="24"/>
          <w:lang w:eastAsia="ru-RU"/>
        </w:rPr>
      </w:pPr>
      <w:r w:rsidRPr="00765C26">
        <w:rPr>
          <w:rFonts w:ascii="Times New Roman" w:eastAsia="Times New Roman" w:hAnsi="Times New Roman" w:cs="Times New Roman"/>
          <w:sz w:val="24"/>
          <w:szCs w:val="24"/>
          <w:lang w:eastAsia="ru-RU"/>
        </w:rPr>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sidRPr="00765C26">
        <w:rPr>
          <w:rFonts w:ascii="Times New Roman" w:eastAsia="Times New Roman" w:hAnsi="Times New Roman" w:cs="Times New Roman"/>
          <w:sz w:val="24"/>
          <w:szCs w:val="24"/>
          <w:lang w:eastAsia="ru-RU"/>
        </w:rPr>
        <w:t>Минздравсоцразвития</w:t>
      </w:r>
      <w:proofErr w:type="spellEnd"/>
      <w:r w:rsidRPr="00765C26">
        <w:rPr>
          <w:rFonts w:ascii="Times New Roman" w:eastAsia="Times New Roman" w:hAnsi="Times New Roman" w:cs="Times New Roman"/>
          <w:sz w:val="24"/>
          <w:szCs w:val="24"/>
          <w:lang w:eastAsia="ru-RU"/>
        </w:rPr>
        <w:t xml:space="preserve"> России, по </w:t>
      </w:r>
      <w:r w:rsidRPr="00765C26">
        <w:rPr>
          <w:rFonts w:ascii="Times New Roman" w:eastAsia="Times New Roman" w:hAnsi="Times New Roman" w:cs="Times New Roman"/>
          <w:sz w:val="24"/>
          <w:szCs w:val="24"/>
          <w:lang w:eastAsia="ru-RU"/>
        </w:rPr>
        <w:lastRenderedPageBreak/>
        <w:t>рекомендуемой</w:t>
      </w:r>
      <w:r w:rsidRPr="00765C26">
        <w:rPr>
          <w:rFonts w:ascii="Times New Roman" w:eastAsia="Times New Roman" w:hAnsi="Times New Roman" w:cs="Times New Roman"/>
          <w:bCs/>
          <w:sz w:val="24"/>
          <w:szCs w:val="24"/>
          <w:lang w:eastAsia="ru-RU"/>
        </w:rPr>
        <w:t xml:space="preserve"> </w:t>
      </w:r>
      <w:r w:rsidRPr="00765C26">
        <w:rPr>
          <w:rFonts w:ascii="Times New Roman" w:eastAsia="Times New Roman" w:hAnsi="Times New Roman" w:cs="Times New Roman"/>
          <w:b/>
          <w:bCs/>
          <w:sz w:val="24"/>
          <w:szCs w:val="24"/>
          <w:lang w:eastAsia="ru-RU"/>
        </w:rPr>
        <w:t>Форме № 4</w:t>
      </w:r>
      <w:r w:rsidRPr="00765C26">
        <w:rPr>
          <w:rFonts w:ascii="Times New Roman" w:eastAsia="Times New Roman" w:hAnsi="Times New Roman" w:cs="Times New Roman"/>
          <w:bCs/>
          <w:sz w:val="24"/>
          <w:szCs w:val="24"/>
          <w:lang w:eastAsia="ru-RU"/>
        </w:rPr>
        <w:t xml:space="preserve"> (таблица 1);</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2.1.2 Наличие плавательного бассейна, стоимость посещения которого включена в стоимость путевки (с возможностью пользования в течение всего периода оказания услуг). Данные предоставляются в составе форм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0,10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НЦБ</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=0,10*</w:t>
      </w:r>
      <w:proofErr w:type="spellStart"/>
      <w:r w:rsidRPr="00765C26">
        <w:rPr>
          <w:rFonts w:ascii="Times New Roman" w:eastAsia="Times New Roman" w:hAnsi="Times New Roman" w:cs="Times New Roman"/>
          <w:sz w:val="24"/>
          <w:szCs w:val="24"/>
          <w:lang w:eastAsia="ru-RU"/>
        </w:rPr>
        <w:t>Б</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A9470D"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743F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765C26" w:rsidRPr="00765C26">
        <w:rPr>
          <w:rFonts w:ascii="Times New Roman" w:eastAsia="Times New Roman" w:hAnsi="Times New Roman" w:cs="Times New Roman"/>
          <w:sz w:val="24"/>
          <w:szCs w:val="24"/>
          <w:lang w:eastAsia="ru-RU"/>
        </w:rPr>
        <w:t xml:space="preserve">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Б</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2.1.3 </w:t>
      </w:r>
      <w:r w:rsidR="00F40AA5">
        <w:rPr>
          <w:rFonts w:ascii="Times New Roman" w:eastAsia="Times New Roman" w:hAnsi="Times New Roman" w:cs="Times New Roman"/>
          <w:b/>
          <w:sz w:val="24"/>
          <w:szCs w:val="24"/>
          <w:lang w:eastAsia="ru-RU"/>
        </w:rPr>
        <w:t>Наличие лесопарковой зоны</w:t>
      </w:r>
      <w:r w:rsidRPr="00765C26">
        <w:rPr>
          <w:rFonts w:ascii="Times New Roman" w:eastAsia="Times New Roman" w:hAnsi="Times New Roman" w:cs="Times New Roman"/>
          <w:b/>
          <w:sz w:val="24"/>
          <w:szCs w:val="24"/>
          <w:lang w:eastAsia="ru-RU"/>
        </w:rPr>
        <w:t xml:space="preserve">. Данные предоставляются в составе формы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3%</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0,03</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НЦЛП</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=0,03*</w:t>
      </w:r>
      <w:proofErr w:type="spellStart"/>
      <w:r w:rsidRPr="00765C26">
        <w:rPr>
          <w:rFonts w:ascii="Times New Roman" w:eastAsia="Times New Roman" w:hAnsi="Times New Roman" w:cs="Times New Roman"/>
          <w:sz w:val="24"/>
          <w:szCs w:val="24"/>
          <w:lang w:eastAsia="ru-RU"/>
        </w:rPr>
        <w:t>ЛП</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0,03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ЛП</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2.1.4 Выполнение условий, характеризующих качество оказываемых услуг - социально-бытовые условия оказания услуг и наличие природных лечебных факторов. Данные предоставляются в составе форм 5 заявки (раздел </w:t>
      </w:r>
      <w:r w:rsidRPr="00765C26">
        <w:rPr>
          <w:rFonts w:ascii="Times New Roman" w:eastAsia="Times New Roman" w:hAnsi="Times New Roman" w:cs="Times New Roman"/>
          <w:b/>
          <w:sz w:val="24"/>
          <w:szCs w:val="24"/>
          <w:lang w:val="en-US" w:eastAsia="ru-RU"/>
        </w:rPr>
        <w:t>V</w:t>
      </w:r>
      <w:r w:rsidRPr="00765C26">
        <w:rPr>
          <w:rFonts w:ascii="Times New Roman" w:eastAsia="Times New Roman" w:hAnsi="Times New Roman" w:cs="Times New Roman"/>
          <w:b/>
          <w:sz w:val="24"/>
          <w:szCs w:val="24"/>
          <w:lang w:eastAsia="ru-RU"/>
        </w:rPr>
        <w:t xml:space="preserve"> настоящей документации).</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Максимальное значение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Присвоение баллов производится в соответствии со следующей шкалой оценки: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521"/>
        <w:gridCol w:w="1417"/>
        <w:gridCol w:w="1560"/>
      </w:tblGrid>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val="en-US" w:eastAsia="ru-RU"/>
              </w:rPr>
            </w:pPr>
            <w:r w:rsidRPr="00765C26">
              <w:rPr>
                <w:rFonts w:ascii="Times New Roman" w:eastAsia="Times New Roman" w:hAnsi="Times New Roman" w:cs="Times New Roman"/>
                <w:sz w:val="24"/>
                <w:szCs w:val="24"/>
                <w:lang w:eastAsia="ru-RU"/>
              </w:rPr>
              <w:t>№ п/п</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val="en-US" w:eastAsia="ru-RU"/>
              </w:rPr>
            </w:pPr>
            <w:r w:rsidRPr="00765C26">
              <w:rPr>
                <w:rFonts w:ascii="Times New Roman" w:eastAsia="Times New Roman" w:hAnsi="Times New Roman" w:cs="Times New Roman"/>
                <w:sz w:val="24"/>
                <w:szCs w:val="24"/>
                <w:lang w:eastAsia="ru-RU"/>
              </w:rPr>
              <w:t>Критерий</w:t>
            </w:r>
            <w:r w:rsidRPr="00765C26">
              <w:rPr>
                <w:rFonts w:ascii="Times New Roman" w:eastAsia="Times New Roman" w:hAnsi="Times New Roman" w:cs="Times New Roman"/>
                <w:sz w:val="24"/>
                <w:szCs w:val="24"/>
                <w:lang w:val="en-US" w:eastAsia="ru-RU"/>
              </w:rPr>
              <w:t xml:space="preserve"> </w:t>
            </w:r>
            <w:r w:rsidRPr="00765C26">
              <w:rPr>
                <w:rFonts w:ascii="Times New Roman" w:eastAsia="Times New Roman" w:hAnsi="Times New Roman" w:cs="Times New Roman"/>
                <w:sz w:val="24"/>
                <w:szCs w:val="24"/>
                <w:lang w:eastAsia="ru-RU"/>
              </w:rPr>
              <w:t>(</w:t>
            </w:r>
            <w:r w:rsidRPr="00765C26">
              <w:rPr>
                <w:rFonts w:ascii="Times New Roman" w:eastAsia="Times New Roman" w:hAnsi="Times New Roman" w:cs="Times New Roman"/>
                <w:sz w:val="28"/>
                <w:szCs w:val="28"/>
                <w:lang w:eastAsia="ru-RU"/>
              </w:rPr>
              <w:t>Н</w:t>
            </w:r>
            <w:proofErr w:type="spellStart"/>
            <w:r w:rsidRPr="00765C26">
              <w:rPr>
                <w:rFonts w:ascii="Times New Roman" w:eastAsia="Times New Roman" w:hAnsi="Times New Roman" w:cs="Times New Roman"/>
                <w:sz w:val="28"/>
                <w:szCs w:val="28"/>
                <w:vertAlign w:val="subscript"/>
                <w:lang w:val="en-US" w:eastAsia="ru-RU"/>
              </w:rPr>
              <w:t>i</w:t>
            </w:r>
            <w:proofErr w:type="spellEnd"/>
            <w:r w:rsidRPr="00765C26">
              <w:rPr>
                <w:rFonts w:ascii="Times New Roman" w:eastAsia="Times New Roman" w:hAnsi="Times New Roman" w:cs="Times New Roman"/>
                <w:sz w:val="24"/>
                <w:szCs w:val="24"/>
                <w:lang w:val="en-US" w:eastAsia="ru-RU"/>
              </w:rPr>
              <w:t>)</w:t>
            </w:r>
          </w:p>
        </w:tc>
        <w:tc>
          <w:tcPr>
            <w:tcW w:w="1417"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Да, %</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Нет, %</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в номере холодильника</w:t>
            </w:r>
          </w:p>
        </w:tc>
        <w:tc>
          <w:tcPr>
            <w:tcW w:w="1417"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2</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в номере телевизора</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3</w:t>
            </w:r>
          </w:p>
        </w:tc>
        <w:tc>
          <w:tcPr>
            <w:tcW w:w="6521" w:type="dxa"/>
            <w:shd w:val="clear" w:color="auto" w:fill="auto"/>
          </w:tcPr>
          <w:p w:rsidR="00765C26" w:rsidRPr="00765C26" w:rsidRDefault="00765C26" w:rsidP="00765C26">
            <w:pPr>
              <w:widowControl w:val="0"/>
              <w:tabs>
                <w:tab w:val="left" w:pos="285"/>
              </w:tabs>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Наличие  теплых переходов между жилыми, медицинскими и столовыми корпусами </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4</w:t>
            </w:r>
          </w:p>
        </w:tc>
        <w:tc>
          <w:tcPr>
            <w:tcW w:w="6521" w:type="dxa"/>
            <w:shd w:val="clear" w:color="auto" w:fill="auto"/>
          </w:tcPr>
          <w:p w:rsidR="00765C26" w:rsidRPr="00765C26" w:rsidRDefault="00765C26" w:rsidP="00765C26">
            <w:pPr>
              <w:widowControl w:val="0"/>
              <w:tabs>
                <w:tab w:val="left" w:pos="420"/>
              </w:tabs>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ежедневного организованного досуга для граждан</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5</w:t>
            </w:r>
          </w:p>
        </w:tc>
        <w:tc>
          <w:tcPr>
            <w:tcW w:w="6521" w:type="dxa"/>
            <w:shd w:val="clear" w:color="auto" w:fill="auto"/>
          </w:tcPr>
          <w:p w:rsidR="00765C26" w:rsidRPr="00765C26" w:rsidRDefault="00765C26" w:rsidP="00765C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применяемых в лечении минеральных вод</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6</w:t>
            </w:r>
          </w:p>
        </w:tc>
        <w:tc>
          <w:tcPr>
            <w:tcW w:w="6521" w:type="dxa"/>
            <w:shd w:val="clear" w:color="auto" w:fill="auto"/>
          </w:tcPr>
          <w:p w:rsidR="00765C26" w:rsidRPr="00765C26" w:rsidRDefault="00765C26" w:rsidP="00765C26">
            <w:pPr>
              <w:widowControl w:val="0"/>
              <w:autoSpaceDE w:val="0"/>
              <w:autoSpaceDN w:val="0"/>
              <w:spacing w:after="0" w:line="240" w:lineRule="auto"/>
              <w:ind w:left="34"/>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Наличие собственной </w:t>
            </w:r>
            <w:proofErr w:type="spellStart"/>
            <w:r w:rsidRPr="00765C26">
              <w:rPr>
                <w:rFonts w:ascii="Times New Roman" w:eastAsia="Times New Roman" w:hAnsi="Times New Roman" w:cs="Times New Roman"/>
                <w:sz w:val="24"/>
                <w:szCs w:val="24"/>
                <w:lang w:eastAsia="ru-RU"/>
              </w:rPr>
              <w:t>водогрязелечебницы</w:t>
            </w:r>
            <w:proofErr w:type="spellEnd"/>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bl>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0,10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НЦН</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=0,10*</w:t>
      </w:r>
      <w:r w:rsidRPr="00765C26">
        <w:rPr>
          <w:rFonts w:ascii="Times New Roman" w:eastAsia="Times New Roman" w:hAnsi="Times New Roman" w:cs="Times New Roman"/>
          <w:sz w:val="28"/>
          <w:szCs w:val="28"/>
          <w:lang w:eastAsia="ru-RU"/>
        </w:rPr>
        <w:t>((</w:t>
      </w:r>
      <w:r w:rsidRPr="00765C26">
        <w:rPr>
          <w:rFonts w:ascii="Times New Roman" w:eastAsia="Times New Roman" w:hAnsi="Times New Roman" w:cs="Times New Roman"/>
          <w:sz w:val="32"/>
          <w:szCs w:val="24"/>
          <w:lang w:eastAsia="ru-RU"/>
        </w:rPr>
        <w:t>∑</w:t>
      </w:r>
      <w:r w:rsidRPr="00765C26">
        <w:rPr>
          <w:rFonts w:ascii="Times New Roman" w:eastAsia="Times New Roman" w:hAnsi="Times New Roman" w:cs="Times New Roman"/>
          <w:sz w:val="28"/>
          <w:szCs w:val="28"/>
          <w:vertAlign w:val="subscript"/>
          <w:lang w:eastAsia="ru-RU"/>
        </w:rPr>
        <w:t>1-6</w:t>
      </w:r>
      <w:r w:rsidRPr="00765C26">
        <w:rPr>
          <w:rFonts w:ascii="Times New Roman" w:eastAsia="Times New Roman" w:hAnsi="Times New Roman" w:cs="Times New Roman"/>
          <w:sz w:val="24"/>
          <w:szCs w:val="24"/>
          <w:vertAlign w:val="subscript"/>
          <w:lang w:eastAsia="ru-RU"/>
        </w:rPr>
        <w:t xml:space="preserve"> </w:t>
      </w:r>
      <w:r w:rsidRPr="00765C26">
        <w:rPr>
          <w:rFonts w:ascii="Times New Roman" w:eastAsia="Times New Roman" w:hAnsi="Times New Roman" w:cs="Times New Roman"/>
          <w:sz w:val="24"/>
          <w:szCs w:val="24"/>
          <w:lang w:eastAsia="ru-RU"/>
        </w:rPr>
        <w:t>Н</w:t>
      </w:r>
      <w:proofErr w:type="spellStart"/>
      <w:proofErr w:type="gramStart"/>
      <w:r w:rsidRPr="00765C26">
        <w:rPr>
          <w:rFonts w:ascii="Times New Roman" w:eastAsia="Times New Roman" w:hAnsi="Times New Roman" w:cs="Times New Roman"/>
          <w:sz w:val="28"/>
          <w:szCs w:val="28"/>
          <w:vertAlign w:val="subscript"/>
          <w:lang w:val="en-US" w:eastAsia="ru-RU"/>
        </w:rPr>
        <w:t>i</w:t>
      </w:r>
      <w:proofErr w:type="spellEnd"/>
      <w:r w:rsidRPr="00765C26">
        <w:rPr>
          <w:rFonts w:ascii="Times New Roman" w:eastAsia="Times New Roman" w:hAnsi="Times New Roman" w:cs="Times New Roman"/>
          <w:sz w:val="28"/>
          <w:szCs w:val="28"/>
          <w:lang w:eastAsia="ru-RU"/>
        </w:rPr>
        <w:t>)/</w:t>
      </w:r>
      <w:proofErr w:type="gramEnd"/>
      <w:r w:rsidRPr="00765C26">
        <w:rPr>
          <w:rFonts w:ascii="Times New Roman" w:eastAsia="Times New Roman" w:hAnsi="Times New Roman" w:cs="Times New Roman"/>
          <w:sz w:val="28"/>
          <w:szCs w:val="28"/>
          <w:lang w:eastAsia="ru-RU"/>
        </w:rPr>
        <w:t>6)</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0,10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tabs>
          <w:tab w:val="left" w:pos="748"/>
        </w:tabs>
        <w:autoSpaceDE w:val="0"/>
        <w:autoSpaceDN w:val="0"/>
        <w:spacing w:before="60" w:after="0" w:line="240" w:lineRule="auto"/>
        <w:ind w:left="40"/>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2.1.5 Возможность оказания бесплатных транспортных услуг по доставке граждан к месту санаторно-курортного лечения и обратно. Данные предоставляются в составе формы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2%</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0,02</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НЦТ</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=0,02*</w:t>
      </w:r>
      <w:proofErr w:type="spellStart"/>
      <w:r w:rsidRPr="00765C26">
        <w:rPr>
          <w:rFonts w:ascii="Times New Roman" w:eastAsia="Times New Roman" w:hAnsi="Times New Roman" w:cs="Times New Roman"/>
          <w:sz w:val="24"/>
          <w:szCs w:val="24"/>
          <w:lang w:eastAsia="ru-RU"/>
        </w:rPr>
        <w:t>Т</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0,02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Т</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606"/>
        </w:tabs>
        <w:autoSpaceDE w:val="0"/>
        <w:autoSpaceDN w:val="0"/>
        <w:spacing w:before="120"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b/>
          <w:sz w:val="24"/>
          <w:szCs w:val="24"/>
          <w:lang w:eastAsia="ru-RU"/>
        </w:rPr>
        <w:lastRenderedPageBreak/>
        <w:t>2.2</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b/>
          <w:sz w:val="24"/>
          <w:szCs w:val="24"/>
          <w:lang w:eastAsia="ru-RU"/>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критерия – </w:t>
      </w:r>
      <w:r w:rsidRPr="00765C26">
        <w:rPr>
          <w:rFonts w:ascii="Times New Roman" w:eastAsia="Times New Roman" w:hAnsi="Times New Roman" w:cs="Times New Roman"/>
          <w:b/>
          <w:sz w:val="24"/>
          <w:szCs w:val="24"/>
          <w:lang w:eastAsia="ru-RU"/>
        </w:rPr>
        <w:t>30%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ar-SA"/>
        </w:rPr>
      </w:pPr>
      <w:r w:rsidRPr="00765C26">
        <w:rPr>
          <w:rFonts w:ascii="Times New Roman" w:eastAsia="Times New Roman" w:hAnsi="Times New Roman" w:cs="Times New Roman"/>
          <w:sz w:val="24"/>
          <w:szCs w:val="24"/>
          <w:lang w:eastAsia="ru-RU"/>
        </w:rPr>
        <w:t xml:space="preserve">Коэффициент значимости критерия – </w:t>
      </w:r>
      <w:r w:rsidRPr="00765C26">
        <w:rPr>
          <w:rFonts w:ascii="Times New Roman" w:eastAsia="Times New Roman" w:hAnsi="Times New Roman" w:cs="Times New Roman"/>
          <w:b/>
          <w:sz w:val="24"/>
          <w:szCs w:val="24"/>
          <w:lang w:eastAsia="ru-RU"/>
        </w:rPr>
        <w:t>0,30.</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ar-SA"/>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Для оценки по критерию применяется </w:t>
      </w:r>
      <w:r w:rsidRPr="00765C26">
        <w:rPr>
          <w:rFonts w:ascii="Times New Roman" w:eastAsia="Times New Roman" w:hAnsi="Times New Roman" w:cs="Times New Roman"/>
          <w:b/>
          <w:sz w:val="24"/>
          <w:szCs w:val="24"/>
          <w:lang w:eastAsia="ru-RU"/>
        </w:rPr>
        <w:t>единый для всех лотов</w:t>
      </w:r>
      <w:r w:rsidRPr="00765C26">
        <w:rPr>
          <w:rFonts w:ascii="Times New Roman" w:eastAsia="Times New Roman" w:hAnsi="Times New Roman" w:cs="Times New Roman"/>
          <w:sz w:val="24"/>
          <w:szCs w:val="24"/>
          <w:lang w:eastAsia="ru-RU"/>
        </w:rPr>
        <w:t xml:space="preserve"> показатель:</w:t>
      </w:r>
    </w:p>
    <w:p w:rsidR="00765C26" w:rsidRPr="00765C26" w:rsidRDefault="00765C26" w:rsidP="00765C26">
      <w:pPr>
        <w:widowControl w:val="0"/>
        <w:numPr>
          <w:ilvl w:val="2"/>
          <w:numId w:val="1"/>
        </w:numPr>
        <w:tabs>
          <w:tab w:val="left" w:pos="748"/>
        </w:tabs>
        <w:suppressAutoHyphens/>
        <w:autoSpaceDE w:val="0"/>
        <w:autoSpaceDN w:val="0"/>
        <w:spacing w:before="60" w:after="0" w:line="240" w:lineRule="auto"/>
        <w:ind w:left="-103"/>
        <w:contextualSpacing/>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Обеспеченность участника трудовыми ресурсами.</w:t>
      </w:r>
    </w:p>
    <w:p w:rsidR="00765C26" w:rsidRPr="00765C26" w:rsidRDefault="00765C26" w:rsidP="00765C26">
      <w:pPr>
        <w:autoSpaceDE w:val="0"/>
        <w:autoSpaceDN w:val="0"/>
        <w:spacing w:after="0" w:line="240" w:lineRule="auto"/>
        <w:ind w:left="-103"/>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 xml:space="preserve">Значимость показателя – </w:t>
      </w:r>
      <w:r w:rsidRPr="00765C26">
        <w:rPr>
          <w:rFonts w:ascii="Times New Roman" w:eastAsia="Calibri" w:hAnsi="Times New Roman" w:cs="Times New Roman"/>
          <w:b/>
          <w:sz w:val="24"/>
          <w:szCs w:val="24"/>
        </w:rPr>
        <w:t>80%</w:t>
      </w:r>
      <w:r w:rsidRPr="00765C26">
        <w:rPr>
          <w:rFonts w:ascii="Times New Roman" w:eastAsia="Calibri" w:hAnsi="Times New Roman" w:cs="Times New Roman"/>
          <w:sz w:val="24"/>
          <w:szCs w:val="24"/>
        </w:rPr>
        <w:t>.</w:t>
      </w:r>
    </w:p>
    <w:p w:rsidR="00765C26" w:rsidRPr="00765C26" w:rsidRDefault="00765C26" w:rsidP="00765C26">
      <w:pPr>
        <w:autoSpaceDE w:val="0"/>
        <w:autoSpaceDN w:val="0"/>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 xml:space="preserve">Коэффициент значимости показателя – </w:t>
      </w:r>
      <w:r w:rsidRPr="00765C26">
        <w:rPr>
          <w:rFonts w:ascii="Times New Roman" w:eastAsia="Calibri" w:hAnsi="Times New Roman" w:cs="Times New Roman"/>
          <w:b/>
          <w:sz w:val="24"/>
          <w:szCs w:val="24"/>
        </w:rPr>
        <w:t>0,80</w:t>
      </w:r>
      <w:r w:rsidRPr="00765C26">
        <w:rPr>
          <w:rFonts w:ascii="Times New Roman" w:eastAsia="Calibri" w:hAnsi="Times New Roman" w:cs="Times New Roman"/>
          <w:sz w:val="24"/>
          <w:szCs w:val="24"/>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НЦВ</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color w:val="000000"/>
          <w:sz w:val="28"/>
          <w:szCs w:val="28"/>
          <w:lang w:eastAsia="ru-RU"/>
        </w:rPr>
        <w:t xml:space="preserve"> В</w:t>
      </w:r>
      <w:proofErr w:type="spellStart"/>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vertAlign w:val="subscript"/>
          <w:lang w:eastAsia="ru-RU"/>
        </w:rPr>
        <w:t xml:space="preserve"> </w:t>
      </w:r>
      <w:r w:rsidRPr="00765C26">
        <w:rPr>
          <w:rFonts w:ascii="Times New Roman" w:eastAsia="Times New Roman" w:hAnsi="Times New Roman" w:cs="Times New Roman"/>
          <w:color w:val="000000"/>
          <w:sz w:val="28"/>
          <w:szCs w:val="28"/>
          <w:lang w:eastAsia="ru-RU"/>
        </w:rPr>
        <w:t xml:space="preserve">/ </w:t>
      </w:r>
      <w:proofErr w:type="spellStart"/>
      <w:r w:rsidRPr="00765C26">
        <w:rPr>
          <w:rFonts w:ascii="Times New Roman" w:eastAsia="Times New Roman" w:hAnsi="Times New Roman" w:cs="Times New Roman"/>
          <w:color w:val="000000"/>
          <w:sz w:val="28"/>
          <w:szCs w:val="28"/>
          <w:lang w:eastAsia="ru-RU"/>
        </w:rPr>
        <w:t>В</w:t>
      </w:r>
      <w:r w:rsidRPr="00765C26">
        <w:rPr>
          <w:rFonts w:ascii="Times New Roman" w:eastAsia="Times New Roman" w:hAnsi="Times New Roman" w:cs="Times New Roman"/>
          <w:color w:val="000000"/>
          <w:sz w:val="28"/>
          <w:szCs w:val="28"/>
          <w:vertAlign w:val="subscript"/>
          <w:lang w:eastAsia="ru-RU"/>
        </w:rPr>
        <w:t>ст</w:t>
      </w:r>
      <w:proofErr w:type="spellEnd"/>
      <w:r w:rsidRPr="00765C26">
        <w:rPr>
          <w:rFonts w:ascii="Times New Roman" w:eastAsia="Times New Roman" w:hAnsi="Times New Roman" w:cs="Times New Roman"/>
          <w:color w:val="000000"/>
          <w:sz w:val="28"/>
          <w:szCs w:val="28"/>
          <w:lang w:eastAsia="ru-RU"/>
        </w:rPr>
        <w:t xml:space="preserve"> *100</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0,8 – коэффициент значимости показателя,</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В</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 предложение участника закупки по количеству врачей из строки «Итого» столбца 4 форма 6, с учетом </w:t>
      </w:r>
      <w:r w:rsidRPr="00765C26">
        <w:rPr>
          <w:rFonts w:ascii="Times New Roman" w:eastAsia="Times New Roman" w:hAnsi="Times New Roman" w:cs="Times New Roman"/>
          <w:b/>
          <w:sz w:val="24"/>
          <w:szCs w:val="24"/>
          <w:lang w:eastAsia="ru-RU"/>
        </w:rPr>
        <w:t>фактического</w:t>
      </w:r>
      <w:r w:rsidRPr="00765C26">
        <w:rPr>
          <w:rFonts w:ascii="Times New Roman" w:eastAsia="Times New Roman" w:hAnsi="Times New Roman" w:cs="Times New Roman"/>
          <w:sz w:val="24"/>
          <w:szCs w:val="24"/>
          <w:lang w:eastAsia="ru-RU"/>
        </w:rPr>
        <w:t xml:space="preserve"> (должно совпадать со столбцом 5 формы 6) наличия подтверждающих документов.</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proofErr w:type="spellEnd"/>
      <w:r w:rsidRPr="00765C26">
        <w:rPr>
          <w:rFonts w:ascii="Times New Roman" w:eastAsia="Times New Roman" w:hAnsi="Times New Roman" w:cs="Times New Roman"/>
          <w:color w:val="000000"/>
          <w:sz w:val="24"/>
          <w:szCs w:val="24"/>
          <w:lang w:eastAsia="ru-RU"/>
        </w:rPr>
        <w:t xml:space="preserve"> – итоговое нормативное количество врачей в соответствии с требованиями закупки (с учетом количества мест принимающей стороны*).</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 xml:space="preserve">Рассчитывается на основании информации указанной в </w:t>
      </w:r>
      <w:r w:rsidRPr="00765C26">
        <w:rPr>
          <w:rFonts w:ascii="Times New Roman" w:eastAsia="Times New Roman" w:hAnsi="Times New Roman" w:cs="Times New Roman"/>
          <w:sz w:val="24"/>
          <w:szCs w:val="24"/>
          <w:lang w:eastAsia="ru-RU"/>
        </w:rPr>
        <w:t xml:space="preserve">столбце 3 форма 6 в части нормативного количества персонала и </w:t>
      </w:r>
      <w:r w:rsidRPr="00765C26">
        <w:rPr>
          <w:rFonts w:ascii="Times New Roman" w:eastAsia="Times New Roman" w:hAnsi="Times New Roman" w:cs="Times New Roman"/>
          <w:color w:val="000000"/>
          <w:sz w:val="24"/>
          <w:szCs w:val="24"/>
          <w:lang w:eastAsia="ru-RU"/>
        </w:rPr>
        <w:t>количества мест принимающей стороны*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8"/>
          <w:szCs w:val="28"/>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proofErr w:type="spellEnd"/>
      <w:r w:rsidRPr="00765C26">
        <w:rPr>
          <w:rFonts w:ascii="Times New Roman" w:eastAsia="Times New Roman" w:hAnsi="Times New Roman" w:cs="Times New Roman"/>
          <w:color w:val="000000"/>
          <w:sz w:val="28"/>
          <w:szCs w:val="28"/>
          <w:lang w:eastAsia="ru-RU"/>
        </w:rPr>
        <w:t>=</w:t>
      </w:r>
      <w:r w:rsidRPr="00765C26">
        <w:rPr>
          <w:rFonts w:ascii="Times New Roman" w:eastAsia="Times New Roman" w:hAnsi="Times New Roman" w:cs="Times New Roman"/>
          <w:color w:val="000000"/>
          <w:sz w:val="24"/>
          <w:szCs w:val="24"/>
          <w:lang w:eastAsia="ru-RU"/>
        </w:rPr>
        <w:t xml:space="preserve"> </w:t>
      </w:r>
      <w:r w:rsidRPr="00765C26">
        <w:rPr>
          <w:rFonts w:ascii="Times New Roman" w:eastAsia="Times New Roman" w:hAnsi="Times New Roman" w:cs="Times New Roman"/>
          <w:sz w:val="32"/>
          <w:szCs w:val="24"/>
          <w:lang w:eastAsia="ru-RU"/>
        </w:rPr>
        <w:t>∑</w:t>
      </w:r>
      <w:r w:rsidRPr="00765C26">
        <w:rPr>
          <w:rFonts w:ascii="Times New Roman" w:eastAsia="Times New Roman" w:hAnsi="Times New Roman" w:cs="Times New Roman"/>
          <w:color w:val="000000"/>
          <w:sz w:val="24"/>
          <w:szCs w:val="24"/>
          <w:lang w:eastAsia="ru-RU"/>
        </w:rPr>
        <w:t xml:space="preserve"> </w:t>
      </w: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vertAlign w:val="subscript"/>
          <w:lang w:val="en-US" w:eastAsia="ru-RU"/>
        </w:rPr>
        <w:t>i</w:t>
      </w:r>
      <w:proofErr w:type="spellEnd"/>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lang w:eastAsia="ru-RU"/>
        </w:rPr>
        <w:t xml:space="preserve"> - </w:t>
      </w:r>
      <w:r w:rsidRPr="00765C26">
        <w:rPr>
          <w:rFonts w:ascii="Times New Roman" w:eastAsia="Times New Roman" w:hAnsi="Times New Roman" w:cs="Times New Roman"/>
          <w:color w:val="000000"/>
          <w:sz w:val="24"/>
          <w:szCs w:val="24"/>
          <w:lang w:eastAsia="ru-RU"/>
        </w:rPr>
        <w:t>нормативное количество врачей в соответствии с требованиями закупки (с учетом количества мест принимающей стороны*) по каждой специальности;</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8"/>
          <w:szCs w:val="28"/>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lang w:eastAsia="ru-RU"/>
        </w:rPr>
        <w:t xml:space="preserve">= </w:t>
      </w: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кк</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lang w:eastAsia="ru-RU"/>
        </w:rPr>
        <w:t xml:space="preserve"> / </w:t>
      </w: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н</w:t>
      </w:r>
      <w:proofErr w:type="spellEnd"/>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кк</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sz w:val="28"/>
          <w:szCs w:val="28"/>
          <w:lang w:eastAsia="ru-RU"/>
        </w:rPr>
        <w:t xml:space="preserve"> - </w:t>
      </w:r>
      <w:r w:rsidRPr="00765C26">
        <w:rPr>
          <w:rFonts w:ascii="Times New Roman" w:eastAsia="Times New Roman" w:hAnsi="Times New Roman" w:cs="Times New Roman"/>
          <w:color w:val="000000"/>
          <w:sz w:val="24"/>
          <w:szCs w:val="24"/>
          <w:lang w:eastAsia="ru-RU"/>
        </w:rPr>
        <w:t>количество мест размещения для пациентов (емкость по койкам (местам) участника);</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н</w:t>
      </w:r>
      <w:proofErr w:type="spellEnd"/>
      <w:r w:rsidRPr="00765C26">
        <w:rPr>
          <w:rFonts w:ascii="Times New Roman" w:eastAsia="Times New Roman" w:hAnsi="Times New Roman" w:cs="Times New Roman"/>
          <w:color w:val="000000"/>
          <w:sz w:val="28"/>
          <w:szCs w:val="28"/>
          <w:lang w:eastAsia="ru-RU"/>
        </w:rPr>
        <w:t xml:space="preserve"> – </w:t>
      </w:r>
      <w:r w:rsidRPr="00765C26">
        <w:rPr>
          <w:rFonts w:ascii="Times New Roman" w:eastAsia="Times New Roman" w:hAnsi="Times New Roman" w:cs="Times New Roman"/>
          <w:color w:val="000000"/>
          <w:sz w:val="24"/>
          <w:szCs w:val="24"/>
          <w:lang w:eastAsia="ru-RU"/>
        </w:rPr>
        <w:t>нормативное значение количества требуемого персонала (</w:t>
      </w:r>
      <w:r w:rsidRPr="00765C26">
        <w:rPr>
          <w:rFonts w:ascii="Times New Roman" w:eastAsia="Times New Roman" w:hAnsi="Times New Roman" w:cs="Times New Roman"/>
          <w:sz w:val="24"/>
          <w:szCs w:val="24"/>
          <w:lang w:eastAsia="ru-RU"/>
        </w:rPr>
        <w:t>столбец 3 форма 6)</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Times New Roman" w:hAnsi="Times New Roman" w:cs="Times New Roman"/>
          <w:sz w:val="24"/>
          <w:szCs w:val="24"/>
          <w:lang w:eastAsia="ru-RU"/>
        </w:rPr>
        <w:t xml:space="preserve">Данные предоставляются в составе формы 6 заявки. </w:t>
      </w:r>
      <w:r w:rsidRPr="00765C26">
        <w:rPr>
          <w:rFonts w:ascii="Times New Roman" w:eastAsia="Calibri" w:hAnsi="Times New Roman" w:cs="Times New Roman"/>
          <w:sz w:val="24"/>
          <w:szCs w:val="24"/>
        </w:rPr>
        <w:t>При непредставлении участником сведений о наличии врачей-специалистов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В случае представления сведений о наличии тех или иных врачей – специалистов без приложения (полностью или частично) копий их документов, подтверждающих специализацию, сведения о наличии врачей, документы по которым не представлены, не засчитываются при оценке заявки по показателю.</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lastRenderedPageBreak/>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widowControl w:val="0"/>
        <w:numPr>
          <w:ilvl w:val="2"/>
          <w:numId w:val="1"/>
        </w:numPr>
        <w:tabs>
          <w:tab w:val="left" w:pos="748"/>
        </w:tabs>
        <w:suppressAutoHyphens/>
        <w:autoSpaceDE w:val="0"/>
        <w:autoSpaceDN w:val="0"/>
        <w:spacing w:after="0" w:line="240" w:lineRule="auto"/>
        <w:ind w:left="-103"/>
        <w:contextualSpacing/>
        <w:jc w:val="both"/>
        <w:rPr>
          <w:rFonts w:ascii="Times New Roman" w:eastAsia="Times New Roman" w:hAnsi="Times New Roman" w:cs="Times New Roman"/>
          <w:b/>
          <w:sz w:val="24"/>
          <w:szCs w:val="24"/>
          <w:lang w:eastAsia="ru-RU"/>
        </w:rPr>
      </w:pPr>
      <w:r w:rsidRPr="00765C26">
        <w:rPr>
          <w:rFonts w:ascii="Times New Roman" w:eastAsia="Calibri" w:hAnsi="Times New Roman" w:cs="Times New Roman"/>
          <w:b/>
          <w:sz w:val="24"/>
          <w:szCs w:val="24"/>
        </w:rPr>
        <w:t>Опыт участника по успешному оказанию аналогичных услуг гражданам льготных категорий:</w:t>
      </w:r>
    </w:p>
    <w:p w:rsidR="00765C26" w:rsidRPr="00765C26" w:rsidRDefault="00765C26" w:rsidP="00765C26">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Значимость показателя – 20%.</w:t>
      </w:r>
    </w:p>
    <w:p w:rsidR="00765C26" w:rsidRPr="00765C26" w:rsidRDefault="00765C26" w:rsidP="00765C26">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Коэффициент значимости показателя – 0,20.</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НЦО</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=0,2*</w:t>
      </w:r>
      <w:proofErr w:type="spellStart"/>
      <w:r w:rsidRPr="00765C26">
        <w:rPr>
          <w:rFonts w:ascii="Times New Roman" w:eastAsia="Times New Roman" w:hAnsi="Times New Roman" w:cs="Times New Roman"/>
          <w:sz w:val="24"/>
          <w:szCs w:val="24"/>
          <w:lang w:eastAsia="ru-RU"/>
        </w:rPr>
        <w:t>О</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0,2 – коэффициент значимости показателя,</w:t>
      </w:r>
    </w:p>
    <w:p w:rsidR="00765C26" w:rsidRPr="00765C26" w:rsidRDefault="00765C26" w:rsidP="00765C26">
      <w:pPr>
        <w:widowControl w:val="0"/>
        <w:spacing w:after="0"/>
        <w:ind w:left="39" w:firstLine="567"/>
        <w:contextualSpacing/>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О</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100 баллов – нал</w:t>
      </w:r>
      <w:r w:rsidR="00315058">
        <w:rPr>
          <w:rFonts w:ascii="Times New Roman" w:eastAsia="Calibri" w:hAnsi="Times New Roman" w:cs="Times New Roman"/>
          <w:sz w:val="24"/>
          <w:szCs w:val="24"/>
        </w:rPr>
        <w:t>ичие за последние три года (2015</w:t>
      </w:r>
      <w:r w:rsidRPr="00765C26">
        <w:rPr>
          <w:rFonts w:ascii="Times New Roman" w:eastAsia="Calibri" w:hAnsi="Times New Roman" w:cs="Times New Roman"/>
          <w:sz w:val="24"/>
          <w:szCs w:val="24"/>
        </w:rPr>
        <w:t xml:space="preserve"> – 201</w:t>
      </w:r>
      <w:r w:rsidR="00315058">
        <w:rPr>
          <w:rFonts w:ascii="Times New Roman" w:eastAsia="Calibri" w:hAnsi="Times New Roman" w:cs="Times New Roman"/>
          <w:sz w:val="24"/>
          <w:szCs w:val="24"/>
        </w:rPr>
        <w:t>7</w:t>
      </w:r>
      <w:r w:rsidRPr="00765C26">
        <w:rPr>
          <w:rFonts w:ascii="Times New Roman" w:eastAsia="Calibri" w:hAnsi="Times New Roman" w:cs="Times New Roman"/>
          <w:sz w:val="24"/>
          <w:szCs w:val="24"/>
        </w:rPr>
        <w:t>), ежегодного опыта работы по успешному оказанию услуг в объеме равном или превышающем количество предлагаемых участником путевок в рамках настоящего конкурса;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 xml:space="preserve">60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течении двух </w:t>
      </w:r>
      <w:r w:rsidR="00315058">
        <w:rPr>
          <w:rFonts w:ascii="Times New Roman" w:eastAsia="Calibri" w:hAnsi="Times New Roman" w:cs="Times New Roman"/>
          <w:sz w:val="24"/>
          <w:szCs w:val="24"/>
        </w:rPr>
        <w:t>лет за указанный период (2015 – 2017</w:t>
      </w:r>
      <w:r w:rsidRPr="00765C26">
        <w:rPr>
          <w:rFonts w:ascii="Times New Roman" w:eastAsia="Calibri" w:hAnsi="Times New Roman" w:cs="Times New Roman"/>
          <w:sz w:val="24"/>
          <w:szCs w:val="24"/>
        </w:rPr>
        <w:t xml:space="preserve"> года);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30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течении одного года за указанный период (2015 – 2017 года);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0 баллов – полное отсутствие опыта работы по успешному оказанию услуг в объеме равном или превышающем количество предлагаемых участником путевок в рамках настоящего конкурса в течении указанного периода (2015 – 2017 года).</w:t>
      </w:r>
    </w:p>
    <w:p w:rsidR="00765C26" w:rsidRPr="00765C26" w:rsidRDefault="00765C26" w:rsidP="00765C26">
      <w:pPr>
        <w:widowControl w:val="0"/>
        <w:autoSpaceDE w:val="0"/>
        <w:autoSpaceDN w:val="0"/>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Не учитывается опыт работы при наличии в 2015 году обоснованных жалоб граждан на некачественное оказание участником услуг.</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Times New Roman" w:hAnsi="Times New Roman" w:cs="Times New Roman"/>
          <w:sz w:val="24"/>
          <w:szCs w:val="24"/>
          <w:lang w:eastAsia="ru-RU"/>
        </w:rPr>
        <w:t xml:space="preserve">Данные предоставляются в составе формы 8 заявки (раздел </w:t>
      </w:r>
      <w:r w:rsidRPr="00765C26">
        <w:rPr>
          <w:rFonts w:ascii="Times New Roman" w:eastAsia="Times New Roman" w:hAnsi="Times New Roman" w:cs="Times New Roman"/>
          <w:sz w:val="24"/>
          <w:szCs w:val="24"/>
          <w:lang w:val="en-US" w:eastAsia="ru-RU"/>
        </w:rPr>
        <w:t>V</w:t>
      </w:r>
      <w:r w:rsidRPr="00765C26">
        <w:rPr>
          <w:rFonts w:ascii="Times New Roman" w:eastAsia="Times New Roman" w:hAnsi="Times New Roman" w:cs="Times New Roman"/>
          <w:sz w:val="24"/>
          <w:szCs w:val="24"/>
          <w:lang w:eastAsia="ru-RU"/>
        </w:rPr>
        <w:t xml:space="preserve"> настоящей документации). </w:t>
      </w:r>
      <w:r w:rsidRPr="00765C26">
        <w:rPr>
          <w:rFonts w:ascii="Times New Roman" w:eastAsia="Calibri" w:hAnsi="Times New Roman" w:cs="Times New Roman"/>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765C26" w:rsidRPr="00765C26" w:rsidRDefault="00765C26" w:rsidP="00765C26">
      <w:pPr>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8"/>
          <w:szCs w:val="28"/>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r w:rsidRPr="00765C26">
        <w:rPr>
          <w:rFonts w:ascii="Times New Roman" w:eastAsia="Times New Roman" w:hAnsi="Times New Roman" w:cs="Times New Roman"/>
          <w:sz w:val="24"/>
          <w:szCs w:val="24"/>
          <w:lang w:eastAsia="ru-RU"/>
        </w:rPr>
        <w:t>.</w:t>
      </w:r>
    </w:p>
    <w:p w:rsidR="00765C26" w:rsidRPr="00765C26" w:rsidRDefault="00765C26" w:rsidP="00765C26">
      <w:pPr>
        <w:spacing w:before="60" w:after="0" w:line="240" w:lineRule="auto"/>
        <w:ind w:left="40" w:firstLine="567"/>
        <w:jc w:val="both"/>
        <w:rPr>
          <w:rFonts w:ascii="Times New Roman" w:eastAsia="Times New Roman" w:hAnsi="Times New Roman" w:cs="Times New Roman"/>
          <w:b/>
          <w:sz w:val="24"/>
          <w:szCs w:val="24"/>
          <w:lang w:eastAsia="ru-RU"/>
        </w:rPr>
      </w:pPr>
    </w:p>
    <w:p w:rsidR="00765C26" w:rsidRPr="00765C26" w:rsidRDefault="00FF3E00" w:rsidP="00765C26">
      <w:pPr>
        <w:spacing w:before="60" w:after="0" w:line="240" w:lineRule="auto"/>
        <w:ind w:left="40"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лоту № 1</w:t>
      </w:r>
    </w:p>
    <w:p w:rsidR="00765C26" w:rsidRPr="00765C26" w:rsidRDefault="00765C26" w:rsidP="00765C26">
      <w:pPr>
        <w:suppressAutoHyphens/>
        <w:snapToGri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 на основании следующей формулы:</w:t>
      </w:r>
    </w:p>
    <w:p w:rsidR="00765C26" w:rsidRPr="00765C26" w:rsidRDefault="00765C26" w:rsidP="00765C26">
      <w:pPr>
        <w:suppressAutoHyphens/>
        <w:snapToGrid w:val="0"/>
        <w:spacing w:before="120" w:after="120" w:line="240" w:lineRule="auto"/>
        <w:ind w:left="40" w:firstLine="567"/>
        <w:jc w:val="both"/>
        <w:rPr>
          <w:rFonts w:ascii="Times New Roman" w:eastAsia="Times New Roman" w:hAnsi="Times New Roman" w:cs="Times New Roman"/>
          <w:color w:val="000000"/>
          <w:sz w:val="32"/>
          <w:szCs w:val="32"/>
          <w:lang w:eastAsia="ru-RU"/>
        </w:rPr>
      </w:pPr>
      <w:r w:rsidRPr="00765C26">
        <w:rPr>
          <w:rFonts w:ascii="Times New Roman" w:eastAsia="Times New Roman" w:hAnsi="Times New Roman" w:cs="Times New Roman"/>
          <w:sz w:val="32"/>
          <w:szCs w:val="32"/>
          <w:lang w:eastAsia="ru-RU"/>
        </w:rPr>
        <w:t>ИБ</w:t>
      </w:r>
      <w:proofErr w:type="spellStart"/>
      <w:r w:rsidRPr="00765C26">
        <w:rPr>
          <w:rFonts w:ascii="Times New Roman" w:eastAsia="Times New Roman" w:hAnsi="Times New Roman" w:cs="Times New Roman"/>
          <w:sz w:val="32"/>
          <w:szCs w:val="32"/>
          <w:vertAlign w:val="subscript"/>
          <w:lang w:val="en-US" w:eastAsia="ru-RU"/>
        </w:rPr>
        <w:t>i</w:t>
      </w:r>
      <w:proofErr w:type="spellEnd"/>
      <w:r w:rsidRPr="00765C26">
        <w:rPr>
          <w:rFonts w:ascii="Times New Roman" w:eastAsia="Times New Roman" w:hAnsi="Times New Roman" w:cs="Times New Roman"/>
          <w:sz w:val="32"/>
          <w:szCs w:val="32"/>
          <w:lang w:eastAsia="ru-RU"/>
        </w:rPr>
        <w:t>=</w:t>
      </w:r>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0,4*ЦБ</w:t>
      </w:r>
      <w:proofErr w:type="spellStart"/>
      <w:proofErr w:type="gramStart"/>
      <w:r w:rsidRPr="00765C26">
        <w:rPr>
          <w:rFonts w:ascii="Times New Roman" w:eastAsia="Times New Roman" w:hAnsi="Times New Roman" w:cs="Times New Roman"/>
          <w:color w:val="000000"/>
          <w:sz w:val="32"/>
          <w:szCs w:val="32"/>
          <w:vertAlign w:val="subscript"/>
          <w:lang w:val="en-US" w:eastAsia="ru-RU"/>
        </w:rPr>
        <w:t>i</w:t>
      </w:r>
      <w:proofErr w:type="spellEnd"/>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w:t>
      </w:r>
      <w:proofErr w:type="gramEnd"/>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0,6*</w:t>
      </w:r>
      <w:r w:rsidRPr="00765C26">
        <w:rPr>
          <w:rFonts w:ascii="Times New Roman" w:eastAsia="Times New Roman" w:hAnsi="Times New Roman" w:cs="Times New Roman"/>
          <w:b/>
          <w:color w:val="7030A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color w:val="000000"/>
          <w:sz w:val="32"/>
          <w:szCs w:val="32"/>
          <w:lang w:eastAsia="ru-RU"/>
        </w:rPr>
        <w:t>0,7*</w:t>
      </w:r>
      <w:r w:rsidRPr="00765C26">
        <w:rPr>
          <w:rFonts w:ascii="Times New Roman" w:eastAsia="Times New Roman" w:hAnsi="Times New Roman" w:cs="Times New Roman"/>
          <w:b/>
          <w:color w:val="FF0000"/>
          <w:sz w:val="32"/>
          <w:szCs w:val="32"/>
          <w:lang w:eastAsia="ru-RU"/>
        </w:rPr>
        <w:t>(</w:t>
      </w:r>
      <w:r w:rsidRPr="00765C26">
        <w:rPr>
          <w:rFonts w:ascii="Times New Roman" w:eastAsia="Times New Roman" w:hAnsi="Times New Roman" w:cs="Times New Roman"/>
          <w:sz w:val="32"/>
          <w:szCs w:val="32"/>
          <w:lang w:eastAsia="ru-RU"/>
        </w:rPr>
        <w:t>НЦУС</w:t>
      </w:r>
      <w:proofErr w:type="spellStart"/>
      <w:r w:rsidRPr="00765C26">
        <w:rPr>
          <w:rFonts w:ascii="Times New Roman" w:eastAsia="Times New Roman" w:hAnsi="Times New Roman" w:cs="Times New Roman"/>
          <w:sz w:val="32"/>
          <w:szCs w:val="32"/>
          <w:vertAlign w:val="subscript"/>
          <w:lang w:val="en-US" w:eastAsia="ru-RU"/>
        </w:rPr>
        <w:t>i</w:t>
      </w:r>
      <w:proofErr w:type="spellEnd"/>
      <w:r w:rsidRPr="00765C26">
        <w:rPr>
          <w:rFonts w:ascii="Times New Roman" w:eastAsia="Times New Roman" w:hAnsi="Times New Roman" w:cs="Times New Roman"/>
          <w:sz w:val="32"/>
          <w:szCs w:val="32"/>
          <w:vertAlign w:val="subscript"/>
          <w:lang w:eastAsia="ru-RU"/>
        </w:rPr>
        <w:t xml:space="preserve"> </w:t>
      </w:r>
      <w:r w:rsidRPr="00765C26">
        <w:rPr>
          <w:rFonts w:ascii="Times New Roman" w:eastAsia="Times New Roman" w:hAnsi="Times New Roman" w:cs="Times New Roman"/>
          <w:sz w:val="32"/>
          <w:szCs w:val="32"/>
          <w:lang w:eastAsia="ru-RU"/>
        </w:rPr>
        <w:t xml:space="preserve">+ </w:t>
      </w:r>
      <w:proofErr w:type="spellStart"/>
      <w:r w:rsidRPr="00765C26">
        <w:rPr>
          <w:rFonts w:ascii="Times New Roman" w:eastAsia="Times New Roman" w:hAnsi="Times New Roman" w:cs="Times New Roman"/>
          <w:sz w:val="32"/>
          <w:szCs w:val="32"/>
          <w:lang w:eastAsia="ru-RU"/>
        </w:rPr>
        <w:t>НЦП</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sz w:val="32"/>
          <w:szCs w:val="32"/>
          <w:vertAlign w:val="subscript"/>
          <w:lang w:eastAsia="ru-RU"/>
        </w:rPr>
        <w:t xml:space="preserve"> </w:t>
      </w:r>
      <w:r w:rsidRPr="00765C26">
        <w:rPr>
          <w:rFonts w:ascii="Times New Roman" w:eastAsia="Times New Roman" w:hAnsi="Times New Roman" w:cs="Times New Roman"/>
          <w:sz w:val="32"/>
          <w:szCs w:val="32"/>
          <w:lang w:eastAsia="ru-RU"/>
        </w:rPr>
        <w:t xml:space="preserve">+ </w:t>
      </w:r>
      <w:proofErr w:type="spellStart"/>
      <w:r w:rsidRPr="00765C26">
        <w:rPr>
          <w:rFonts w:ascii="Times New Roman" w:eastAsia="Times New Roman" w:hAnsi="Times New Roman" w:cs="Times New Roman"/>
          <w:sz w:val="32"/>
          <w:szCs w:val="32"/>
          <w:lang w:eastAsia="ru-RU"/>
        </w:rPr>
        <w:t>НЦЛП</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sz w:val="32"/>
          <w:szCs w:val="32"/>
          <w:lang w:eastAsia="ru-RU"/>
        </w:rPr>
        <w:t xml:space="preserve"> + </w:t>
      </w:r>
      <w:proofErr w:type="spellStart"/>
      <w:r w:rsidRPr="00765C26">
        <w:rPr>
          <w:rFonts w:ascii="Times New Roman" w:eastAsia="Times New Roman" w:hAnsi="Times New Roman" w:cs="Times New Roman"/>
          <w:sz w:val="32"/>
          <w:szCs w:val="32"/>
          <w:lang w:eastAsia="ru-RU"/>
        </w:rPr>
        <w:t>НЦН</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sz w:val="32"/>
          <w:szCs w:val="32"/>
          <w:lang w:eastAsia="ru-RU"/>
        </w:rPr>
        <w:t xml:space="preserve"> + </w:t>
      </w:r>
      <w:proofErr w:type="spellStart"/>
      <w:r w:rsidRPr="00765C26">
        <w:rPr>
          <w:rFonts w:ascii="Times New Roman" w:eastAsia="Times New Roman" w:hAnsi="Times New Roman" w:cs="Times New Roman"/>
          <w:sz w:val="32"/>
          <w:szCs w:val="32"/>
          <w:lang w:eastAsia="ru-RU"/>
        </w:rPr>
        <w:t>НЦТ</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b/>
          <w:color w:val="FF000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sz w:val="32"/>
          <w:szCs w:val="32"/>
          <w:lang w:eastAsia="ru-RU"/>
        </w:rPr>
        <w:t xml:space="preserve"> </w:t>
      </w:r>
      <w:r w:rsidRPr="00765C26">
        <w:rPr>
          <w:rFonts w:ascii="Times New Roman" w:eastAsia="Times New Roman" w:hAnsi="Times New Roman" w:cs="Times New Roman"/>
          <w:color w:val="000000"/>
          <w:sz w:val="32"/>
          <w:szCs w:val="32"/>
          <w:lang w:eastAsia="ru-RU"/>
        </w:rPr>
        <w:t xml:space="preserve">+ </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color w:val="000000"/>
          <w:sz w:val="32"/>
          <w:szCs w:val="32"/>
          <w:lang w:eastAsia="ru-RU"/>
        </w:rPr>
        <w:t>0,3*</w:t>
      </w:r>
      <w:r w:rsidRPr="00765C26">
        <w:rPr>
          <w:rFonts w:ascii="Times New Roman" w:eastAsia="Times New Roman" w:hAnsi="Times New Roman" w:cs="Times New Roman"/>
          <w:b/>
          <w:color w:val="FF0000"/>
          <w:sz w:val="32"/>
          <w:szCs w:val="32"/>
          <w:lang w:eastAsia="ru-RU"/>
        </w:rPr>
        <w:t>(</w:t>
      </w:r>
      <w:proofErr w:type="spellStart"/>
      <w:r w:rsidRPr="00765C26">
        <w:rPr>
          <w:rFonts w:ascii="Times New Roman" w:eastAsia="Times New Roman" w:hAnsi="Times New Roman" w:cs="Times New Roman"/>
          <w:color w:val="000000"/>
          <w:sz w:val="32"/>
          <w:szCs w:val="32"/>
          <w:lang w:eastAsia="ru-RU"/>
        </w:rPr>
        <w:t>НЦВ</w:t>
      </w:r>
      <w:r w:rsidRPr="00765C26">
        <w:rPr>
          <w:rFonts w:ascii="Times New Roman" w:eastAsia="Times New Roman" w:hAnsi="Times New Roman" w:cs="Times New Roman"/>
          <w:color w:val="000000"/>
          <w:sz w:val="32"/>
          <w:szCs w:val="32"/>
          <w:vertAlign w:val="subscript"/>
          <w:lang w:eastAsia="ru-RU"/>
        </w:rPr>
        <w:t>i</w:t>
      </w:r>
      <w:proofErr w:type="spellEnd"/>
      <w:r w:rsidRPr="00765C26">
        <w:rPr>
          <w:rFonts w:ascii="Times New Roman" w:eastAsia="Times New Roman" w:hAnsi="Times New Roman" w:cs="Times New Roman"/>
          <w:color w:val="000000"/>
          <w:sz w:val="32"/>
          <w:szCs w:val="32"/>
          <w:lang w:eastAsia="ru-RU"/>
        </w:rPr>
        <w:t xml:space="preserve"> + </w:t>
      </w:r>
      <w:proofErr w:type="spellStart"/>
      <w:r w:rsidRPr="00765C26">
        <w:rPr>
          <w:rFonts w:ascii="Times New Roman" w:eastAsia="Times New Roman" w:hAnsi="Times New Roman" w:cs="Times New Roman"/>
          <w:color w:val="000000"/>
          <w:sz w:val="32"/>
          <w:szCs w:val="32"/>
          <w:lang w:eastAsia="ru-RU"/>
        </w:rPr>
        <w:t>НЦО</w:t>
      </w:r>
      <w:r w:rsidRPr="00765C26">
        <w:rPr>
          <w:rFonts w:ascii="Times New Roman" w:eastAsia="Times New Roman" w:hAnsi="Times New Roman" w:cs="Times New Roman"/>
          <w:color w:val="000000"/>
          <w:sz w:val="32"/>
          <w:szCs w:val="32"/>
          <w:vertAlign w:val="subscript"/>
          <w:lang w:eastAsia="ru-RU"/>
        </w:rPr>
        <w:t>i</w:t>
      </w:r>
      <w:proofErr w:type="spellEnd"/>
      <w:r w:rsidRPr="00765C26">
        <w:rPr>
          <w:rFonts w:ascii="Times New Roman" w:eastAsia="Times New Roman" w:hAnsi="Times New Roman" w:cs="Times New Roman"/>
          <w:color w:val="FF000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b/>
          <w:color w:val="7030A0"/>
          <w:sz w:val="32"/>
          <w:szCs w:val="32"/>
          <w:lang w:eastAsia="ru-RU"/>
        </w:rPr>
        <w:t>)</w:t>
      </w:r>
      <w:r w:rsidRPr="00765C26">
        <w:rPr>
          <w:rFonts w:ascii="Times New Roman" w:eastAsia="Times New Roman" w:hAnsi="Times New Roman" w:cs="Times New Roman"/>
          <w:color w:val="00B0F0"/>
          <w:sz w:val="32"/>
          <w:szCs w:val="32"/>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bCs/>
          <w:sz w:val="24"/>
          <w:szCs w:val="24"/>
          <w:lang w:eastAsia="ru-RU"/>
        </w:rPr>
      </w:pPr>
      <w:r w:rsidRPr="00765C26">
        <w:rPr>
          <w:rFonts w:ascii="Times New Roman" w:eastAsia="Times New Roman" w:hAnsi="Times New Roman" w:cs="Times New Roman"/>
          <w:sz w:val="24"/>
          <w:szCs w:val="24"/>
          <w:lang w:eastAsia="ru-RU"/>
        </w:rPr>
        <w:lastRenderedPageBreak/>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3398B" w:rsidRDefault="00A3398B"/>
    <w:sectPr w:rsidR="00A3398B" w:rsidSect="00765C2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524AA"/>
    <w:multiLevelType w:val="hybridMultilevel"/>
    <w:tmpl w:val="A3CA2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06DF1"/>
    <w:multiLevelType w:val="multilevel"/>
    <w:tmpl w:val="FA6CAFB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F4"/>
    <w:rsid w:val="00056439"/>
    <w:rsid w:val="0022269B"/>
    <w:rsid w:val="00315058"/>
    <w:rsid w:val="003645E7"/>
    <w:rsid w:val="003A043B"/>
    <w:rsid w:val="003A4B7C"/>
    <w:rsid w:val="00514FBA"/>
    <w:rsid w:val="005252DD"/>
    <w:rsid w:val="005C5F6A"/>
    <w:rsid w:val="00677C65"/>
    <w:rsid w:val="00702EFB"/>
    <w:rsid w:val="0074016B"/>
    <w:rsid w:val="00763C68"/>
    <w:rsid w:val="00765C26"/>
    <w:rsid w:val="00855FEF"/>
    <w:rsid w:val="008A17C7"/>
    <w:rsid w:val="008A6774"/>
    <w:rsid w:val="008F4FDE"/>
    <w:rsid w:val="00986339"/>
    <w:rsid w:val="009E784A"/>
    <w:rsid w:val="00A25982"/>
    <w:rsid w:val="00A3398B"/>
    <w:rsid w:val="00A365F4"/>
    <w:rsid w:val="00A4530B"/>
    <w:rsid w:val="00A85E7B"/>
    <w:rsid w:val="00A9470D"/>
    <w:rsid w:val="00AC4FBF"/>
    <w:rsid w:val="00AD110B"/>
    <w:rsid w:val="00B01AFA"/>
    <w:rsid w:val="00B743FB"/>
    <w:rsid w:val="00B77B2D"/>
    <w:rsid w:val="00B94A68"/>
    <w:rsid w:val="00CC205D"/>
    <w:rsid w:val="00D5280E"/>
    <w:rsid w:val="00ED31E9"/>
    <w:rsid w:val="00F11816"/>
    <w:rsid w:val="00F40AA5"/>
    <w:rsid w:val="00F71132"/>
    <w:rsid w:val="00FF3E00"/>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C3301-BEE9-4AFF-AB0F-43A5BD30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FA"/>
    <w:pPr>
      <w:ind w:left="720"/>
      <w:contextualSpacing/>
    </w:pPr>
  </w:style>
  <w:style w:type="paragraph" w:styleId="a4">
    <w:name w:val="Balloon Text"/>
    <w:basedOn w:val="a"/>
    <w:link w:val="a5"/>
    <w:uiPriority w:val="99"/>
    <w:semiHidden/>
    <w:unhideWhenUsed/>
    <w:rsid w:val="003A4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Евстигнеева</dc:creator>
  <cp:keywords/>
  <dc:description/>
  <cp:lastModifiedBy>Ирина В. Астапова</cp:lastModifiedBy>
  <cp:revision>42</cp:revision>
  <cp:lastPrinted>2018-04-02T06:07:00Z</cp:lastPrinted>
  <dcterms:created xsi:type="dcterms:W3CDTF">2018-03-19T10:41:00Z</dcterms:created>
  <dcterms:modified xsi:type="dcterms:W3CDTF">2018-04-02T10:55:00Z</dcterms:modified>
</cp:coreProperties>
</file>