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AC" w:rsidRPr="0068697B" w:rsidRDefault="00B33AAC" w:rsidP="00B33A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97B">
        <w:rPr>
          <w:rFonts w:ascii="Times New Roman" w:hAnsi="Times New Roman" w:cs="Times New Roman"/>
          <w:b/>
          <w:sz w:val="24"/>
          <w:szCs w:val="24"/>
        </w:rPr>
        <w:t>Критерии оценки заявок на участие в открытом конкурсе,</w:t>
      </w:r>
    </w:p>
    <w:p w:rsidR="00B33AAC" w:rsidRPr="0068697B" w:rsidRDefault="00B33AAC" w:rsidP="00B33AAC">
      <w:pPr>
        <w:jc w:val="center"/>
        <w:rPr>
          <w:b/>
        </w:rPr>
      </w:pPr>
      <w:r w:rsidRPr="0068697B">
        <w:rPr>
          <w:b/>
        </w:rPr>
        <w:t>величины значимости этих критериев, порядок рассмотрения и оценки заявок на участие в открытом конкурсе</w:t>
      </w:r>
    </w:p>
    <w:p w:rsidR="00B33AAC" w:rsidRPr="0068697B" w:rsidRDefault="00B33AAC" w:rsidP="00B33AAC">
      <w:pPr>
        <w:pStyle w:val="1"/>
        <w:keepLines/>
        <w:spacing w:before="0" w:after="0" w:line="240" w:lineRule="atLeast"/>
        <w:rPr>
          <w:sz w:val="24"/>
          <w:szCs w:val="24"/>
        </w:rPr>
      </w:pPr>
    </w:p>
    <w:p w:rsidR="00B33AAC" w:rsidRPr="0068697B" w:rsidRDefault="00B33AAC" w:rsidP="00B33AAC">
      <w:pPr>
        <w:pStyle w:val="1"/>
        <w:keepLines/>
        <w:spacing w:before="0" w:after="0" w:line="240" w:lineRule="atLeast"/>
        <w:rPr>
          <w:sz w:val="24"/>
          <w:szCs w:val="24"/>
        </w:rPr>
      </w:pPr>
    </w:p>
    <w:tbl>
      <w:tblPr>
        <w:tblW w:w="10474" w:type="dxa"/>
        <w:jc w:val="center"/>
        <w:tblInd w:w="185" w:type="dxa"/>
        <w:tblLayout w:type="fixed"/>
        <w:tblLook w:val="04A0" w:firstRow="1" w:lastRow="0" w:firstColumn="1" w:lastColumn="0" w:noHBand="0" w:noVBand="1"/>
      </w:tblPr>
      <w:tblGrid>
        <w:gridCol w:w="974"/>
        <w:gridCol w:w="1137"/>
        <w:gridCol w:w="3827"/>
        <w:gridCol w:w="1418"/>
        <w:gridCol w:w="1417"/>
        <w:gridCol w:w="1701"/>
      </w:tblGrid>
      <w:tr w:rsidR="00B33AAC" w:rsidRPr="0068697B" w:rsidTr="00ED7BC0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left="-182" w:right="-194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Номер</w:t>
            </w:r>
          </w:p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left="-182" w:right="-194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критерия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Критерии и показатели критериев оценки заявок на участие в конкурсе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8697B">
              <w:rPr>
                <w:bCs/>
                <w:sz w:val="20"/>
                <w:szCs w:val="20"/>
              </w:rPr>
              <w:t>Коэффициент значимости</w:t>
            </w:r>
          </w:p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8697B">
              <w:rPr>
                <w:bCs/>
                <w:sz w:val="20"/>
                <w:szCs w:val="22"/>
              </w:rPr>
              <w:t>Максимальные значения показателя критерия в баллах</w:t>
            </w:r>
          </w:p>
        </w:tc>
      </w:tr>
      <w:tr w:rsidR="00B33AAC" w:rsidRPr="0068697B" w:rsidTr="00ED7BC0">
        <w:trPr>
          <w:jc w:val="center"/>
        </w:trPr>
        <w:tc>
          <w:tcPr>
            <w:tcW w:w="10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Стоимостные критерии</w:t>
            </w:r>
          </w:p>
        </w:tc>
      </w:tr>
      <w:tr w:rsidR="00B33AAC" w:rsidRPr="0068697B" w:rsidTr="00ED7BC0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AAC" w:rsidRPr="0068697B" w:rsidRDefault="00B33AAC" w:rsidP="00ED7BC0">
            <w:pPr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Цена контракта (Форма № 4 - Предложение о цене контракта)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697B">
              <w:rPr>
                <w:b/>
                <w:sz w:val="20"/>
                <w:szCs w:val="20"/>
                <w:lang w:val="en-US"/>
              </w:rPr>
              <w:t>6</w:t>
            </w:r>
            <w:r w:rsidRPr="0068697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8697B">
              <w:rPr>
                <w:b/>
                <w:sz w:val="20"/>
                <w:szCs w:val="20"/>
              </w:rPr>
              <w:t>0,</w:t>
            </w:r>
            <w:r w:rsidRPr="0068697B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697B">
              <w:rPr>
                <w:sz w:val="20"/>
              </w:rPr>
              <w:t>100</w:t>
            </w:r>
          </w:p>
        </w:tc>
      </w:tr>
      <w:tr w:rsidR="00B33AAC" w:rsidRPr="0068697B" w:rsidTr="00ED7BC0">
        <w:trPr>
          <w:jc w:val="center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8697B">
              <w:rPr>
                <w:sz w:val="20"/>
                <w:szCs w:val="20"/>
              </w:rPr>
              <w:t>Нестоимостные</w:t>
            </w:r>
            <w:proofErr w:type="spellEnd"/>
            <w:r w:rsidRPr="0068697B">
              <w:rPr>
                <w:sz w:val="20"/>
                <w:szCs w:val="20"/>
              </w:rPr>
              <w:t xml:space="preserve"> критерии</w:t>
            </w:r>
          </w:p>
        </w:tc>
      </w:tr>
      <w:tr w:rsidR="00B33AAC" w:rsidRPr="0068697B" w:rsidTr="00ED7BC0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auto"/>
            </w:tcBorders>
            <w:hideMark/>
          </w:tcPr>
          <w:p w:rsidR="00B33AAC" w:rsidRPr="0068697B" w:rsidRDefault="00B33AAC" w:rsidP="00ED7BC0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2.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3AAC" w:rsidRPr="0068697B" w:rsidRDefault="00B33AAC" w:rsidP="00ED7BC0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2.1. Качественные, функциональные и экологические характеристики объекта закупок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3AAC" w:rsidRPr="0068697B" w:rsidRDefault="00B33AAC" w:rsidP="00ED7BC0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697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AC" w:rsidRPr="0068697B" w:rsidRDefault="00B33AAC" w:rsidP="00ED7BC0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697B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697B">
              <w:rPr>
                <w:sz w:val="20"/>
              </w:rPr>
              <w:t>100</w:t>
            </w:r>
          </w:p>
        </w:tc>
      </w:tr>
      <w:tr w:rsidR="00B33AAC" w:rsidRPr="0068697B" w:rsidTr="00ED7BC0">
        <w:trPr>
          <w:jc w:val="center"/>
        </w:trPr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2.1.1.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AC" w:rsidRPr="0068697B" w:rsidRDefault="00B33AAC" w:rsidP="00ED7BC0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68697B">
              <w:rPr>
                <w:rFonts w:ascii="Times New Roman" w:hAnsi="Times New Roman" w:cs="Times New Roman"/>
              </w:rPr>
              <w:t>Гарантийный срок на протезы</w:t>
            </w:r>
          </w:p>
          <w:p w:rsidR="00B33AAC" w:rsidRPr="0068697B" w:rsidRDefault="00B33AAC" w:rsidP="00ED7BC0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68697B">
              <w:rPr>
                <w:rFonts w:ascii="Times New Roman" w:hAnsi="Times New Roman" w:cs="Times New Roman"/>
              </w:rPr>
              <w:t>(Форма № 5 - Сведения о гарантийном сроке на протезы)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</w:rPr>
            </w:pPr>
            <w:r w:rsidRPr="0068697B">
              <w:rPr>
                <w:sz w:val="20"/>
              </w:rPr>
              <w:t>100</w:t>
            </w:r>
          </w:p>
        </w:tc>
      </w:tr>
      <w:tr w:rsidR="00B33AAC" w:rsidRPr="0068697B" w:rsidTr="00ED7BC0">
        <w:trPr>
          <w:jc w:val="center"/>
        </w:trPr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AAC" w:rsidRPr="0068697B" w:rsidRDefault="00B33AAC" w:rsidP="00ED7BC0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68697B">
              <w:rPr>
                <w:rFonts w:ascii="Times New Roman" w:hAnsi="Times New Roman" w:cs="Times New Roman"/>
              </w:rPr>
              <w:t>2.2. Квалификация участников закупки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b/>
                <w:sz w:val="20"/>
                <w:szCs w:val="20"/>
              </w:rPr>
            </w:pPr>
            <w:r w:rsidRPr="0068697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b/>
                <w:sz w:val="20"/>
                <w:szCs w:val="20"/>
              </w:rPr>
            </w:pPr>
            <w:r w:rsidRPr="0068697B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</w:rPr>
            </w:pPr>
            <w:r w:rsidRPr="0068697B">
              <w:rPr>
                <w:sz w:val="20"/>
              </w:rPr>
              <w:t>100</w:t>
            </w:r>
          </w:p>
        </w:tc>
      </w:tr>
      <w:tr w:rsidR="00B33AAC" w:rsidRPr="0068697B" w:rsidTr="00ED7BC0">
        <w:trPr>
          <w:jc w:val="center"/>
        </w:trPr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2.2.1.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AAC" w:rsidRPr="0068697B" w:rsidRDefault="00B33AAC" w:rsidP="00ED7BC0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68697B">
              <w:rPr>
                <w:rFonts w:ascii="Times New Roman" w:hAnsi="Times New Roman" w:cs="Times New Roman"/>
              </w:rPr>
              <w:t>Наличие или отсутствие круглосуточного стационара по месту протезирования (Форма № 6 - Сведения о наличии круглосуточного стационара по месту протезирования)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 w:rsidRPr="0068697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 w:rsidRPr="0068697B">
              <w:rPr>
                <w:sz w:val="20"/>
                <w:szCs w:val="20"/>
              </w:rPr>
              <w:t>0,0</w:t>
            </w:r>
            <w:r w:rsidRPr="0068697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lang w:val="en-US"/>
              </w:rPr>
            </w:pPr>
            <w:r w:rsidRPr="0068697B">
              <w:rPr>
                <w:sz w:val="20"/>
                <w:lang w:val="en-US"/>
              </w:rPr>
              <w:t>30</w:t>
            </w:r>
          </w:p>
        </w:tc>
      </w:tr>
      <w:tr w:rsidR="00B33AAC" w:rsidRPr="0068697B" w:rsidTr="00ED7BC0">
        <w:trPr>
          <w:jc w:val="center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2.2.2.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3AAC" w:rsidRPr="0068697B" w:rsidRDefault="00B33AAC" w:rsidP="00ED7BC0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68697B">
              <w:rPr>
                <w:rFonts w:ascii="Times New Roman" w:hAnsi="Times New Roman" w:cs="Times New Roman"/>
              </w:rPr>
              <w:t>Наличие или отсутствие выездных бригад для обслуживания получателя на дому на территории Твери и Тверской области в составе врача и технического специалиста (техника протезиста или инженера-протезиста), работающих на постоянной основе (Форма № 7 - Сведения о выездных бригадах)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 w:rsidRPr="0068697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 w:rsidRPr="0068697B">
              <w:rPr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</w:rPr>
            </w:pPr>
            <w:r w:rsidRPr="0068697B">
              <w:rPr>
                <w:sz w:val="20"/>
              </w:rPr>
              <w:t>30</w:t>
            </w:r>
          </w:p>
        </w:tc>
      </w:tr>
      <w:tr w:rsidR="00B33AAC" w:rsidRPr="0068697B" w:rsidTr="00ED7BC0">
        <w:trPr>
          <w:jc w:val="center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2.2.3.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3AAC" w:rsidRPr="0068697B" w:rsidRDefault="00B33AAC" w:rsidP="00ED7BC0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68697B">
              <w:rPr>
                <w:rFonts w:ascii="Times New Roman" w:hAnsi="Times New Roman" w:cs="Times New Roman"/>
              </w:rPr>
              <w:t xml:space="preserve">Наличие или отсутствие опыта выполнения аналогичных работ за 2015-2017 годы. </w:t>
            </w:r>
          </w:p>
          <w:p w:rsidR="00B33AAC" w:rsidRPr="0068697B" w:rsidRDefault="00B33AAC" w:rsidP="00ED7BC0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68697B">
              <w:rPr>
                <w:rFonts w:ascii="Times New Roman" w:hAnsi="Times New Roman" w:cs="Times New Roman"/>
              </w:rPr>
              <w:t>(Форма № 8 - Сведения о заключенных и исполненных контрактах за 2015-2017 годы)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 w:rsidRPr="0068697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 w:rsidRPr="0068697B">
              <w:rPr>
                <w:sz w:val="20"/>
                <w:szCs w:val="20"/>
              </w:rPr>
              <w:t>0,</w:t>
            </w:r>
            <w:r w:rsidRPr="0068697B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lang w:val="en-US"/>
              </w:rPr>
            </w:pPr>
            <w:r w:rsidRPr="0068697B">
              <w:rPr>
                <w:sz w:val="20"/>
                <w:lang w:val="en-US"/>
              </w:rPr>
              <w:t>40</w:t>
            </w:r>
          </w:p>
        </w:tc>
      </w:tr>
      <w:tr w:rsidR="00B33AAC" w:rsidRPr="0068697B" w:rsidTr="00ED7BC0">
        <w:trPr>
          <w:trHeight w:val="882"/>
          <w:jc w:val="center"/>
        </w:trPr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0"/>
                <w:szCs w:val="20"/>
              </w:rPr>
            </w:pPr>
            <w:r w:rsidRPr="0068697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0"/>
                <w:szCs w:val="20"/>
              </w:rPr>
            </w:pPr>
            <w:r w:rsidRPr="006869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0"/>
              </w:rPr>
            </w:pPr>
          </w:p>
        </w:tc>
      </w:tr>
    </w:tbl>
    <w:p w:rsidR="00B33AAC" w:rsidRPr="0068697B" w:rsidRDefault="00B33AAC" w:rsidP="00B33AAC"/>
    <w:p w:rsidR="00B33AAC" w:rsidRPr="0068697B" w:rsidRDefault="00B33AAC" w:rsidP="00B33AAC">
      <w:pPr>
        <w:jc w:val="center"/>
        <w:rPr>
          <w:b/>
          <w:lang w:eastAsia="ar-SA"/>
        </w:rPr>
      </w:pPr>
      <w:r w:rsidRPr="0068697B">
        <w:rPr>
          <w:b/>
          <w:lang w:eastAsia="ar-SA"/>
        </w:rPr>
        <w:t>Порядок оценки заявок на участие в конкурсе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>Оценка заявок на участие в конкурсе осуществляется в соответствии с Правилами оценки</w:t>
      </w:r>
      <w:r w:rsidRPr="0068697B">
        <w:rPr>
          <w:rFonts w:cs="Calibri"/>
          <w:lang w:eastAsia="ar-SA"/>
        </w:rPr>
        <w:t xml:space="preserve"> заявок, окончательных предложений участников закупки товаров, работ, услуг для обеспечения государственных и муниципальных нужд,</w:t>
      </w:r>
      <w:r w:rsidRPr="0068697B">
        <w:rPr>
          <w:lang w:eastAsia="ar-SA"/>
        </w:rPr>
        <w:t xml:space="preserve"> утвержденными Постановлением правительства Российской Федерации № 1085 от 28 ноября 2013 (далее – Правила).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>Термины, используемые при оценке заявок на участие в конкурсе: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lastRenderedPageBreak/>
        <w:t>«оценка» - процесс выявления в соответствии с условиями определения исполнителя по критериям оценки и в порядке, установленном в документации о закупке, лучших условий исполнения контракта, указанных в заявках участников закупки, которые не были отклонены;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>«значимость критерия оценки» - вес критерия оценки в совокупности критериев оценки, установленных в документации о закупке, выраженная в процентах;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>«коэффициент значимости критерия оценки» - вес критерия оценки в совокупности критериев оценки, установленных в документации о закупке, деленный на 100»;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>«рейтинг заявки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оценки».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>Оценка заявок осуществляется с использованием следующих критериев оценки заявок:</w:t>
      </w:r>
    </w:p>
    <w:p w:rsidR="00B33AAC" w:rsidRPr="0068697B" w:rsidRDefault="00B33AAC" w:rsidP="00B33AAC">
      <w:pPr>
        <w:numPr>
          <w:ilvl w:val="0"/>
          <w:numId w:val="1"/>
        </w:numPr>
        <w:tabs>
          <w:tab w:val="left" w:pos="720"/>
        </w:tabs>
        <w:suppressAutoHyphens/>
        <w:spacing w:after="0"/>
        <w:ind w:left="-284" w:right="-284" w:firstLine="426"/>
        <w:rPr>
          <w:lang w:eastAsia="ar-SA"/>
        </w:rPr>
      </w:pPr>
      <w:r w:rsidRPr="0068697B">
        <w:rPr>
          <w:lang w:eastAsia="ar-SA"/>
        </w:rPr>
        <w:t>Стоимостные критерии оценки (цена контракта);</w:t>
      </w:r>
    </w:p>
    <w:p w:rsidR="00B33AAC" w:rsidRPr="0068697B" w:rsidRDefault="00B33AAC" w:rsidP="00B33AAC">
      <w:pPr>
        <w:numPr>
          <w:ilvl w:val="0"/>
          <w:numId w:val="1"/>
        </w:numPr>
        <w:tabs>
          <w:tab w:val="left" w:pos="720"/>
        </w:tabs>
        <w:suppressAutoHyphens/>
        <w:spacing w:after="0"/>
        <w:ind w:left="-284" w:right="-284" w:firstLine="426"/>
        <w:rPr>
          <w:lang w:eastAsia="ar-SA"/>
        </w:rPr>
      </w:pPr>
      <w:proofErr w:type="spellStart"/>
      <w:r w:rsidRPr="0068697B">
        <w:rPr>
          <w:rFonts w:cs="Calibri"/>
          <w:lang w:eastAsia="ar-SA"/>
        </w:rPr>
        <w:t>Нестоимостные</w:t>
      </w:r>
      <w:proofErr w:type="spellEnd"/>
      <w:r w:rsidRPr="0068697B">
        <w:rPr>
          <w:rFonts w:cs="Calibri"/>
          <w:lang w:eastAsia="ar-SA"/>
        </w:rPr>
        <w:t xml:space="preserve"> критерии оценки (качественные, функциональные и экологические характеристики объекта закупки; квалификация участников закупки).</w:t>
      </w:r>
    </w:p>
    <w:p w:rsidR="00B33AAC" w:rsidRPr="0068697B" w:rsidRDefault="00B33AAC" w:rsidP="00B33AAC">
      <w:pPr>
        <w:tabs>
          <w:tab w:val="left" w:pos="720"/>
        </w:tabs>
        <w:autoSpaceDE w:val="0"/>
        <w:autoSpaceDN w:val="0"/>
        <w:adjustRightInd w:val="0"/>
        <w:ind w:left="-284" w:right="-284" w:firstLine="426"/>
      </w:pPr>
      <w:r w:rsidRPr="0068697B"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>Оценка заявок на участие в конкурсе производится на основании критериев оценки, их содержания и значимости.</w:t>
      </w:r>
    </w:p>
    <w:p w:rsidR="00B33AAC" w:rsidRPr="0068697B" w:rsidRDefault="00B33AAC" w:rsidP="00B33AAC">
      <w:pPr>
        <w:widowControl w:val="0"/>
        <w:autoSpaceDE w:val="0"/>
        <w:autoSpaceDN w:val="0"/>
        <w:adjustRightInd w:val="0"/>
        <w:ind w:left="-284" w:right="-284" w:firstLine="426"/>
        <w:rPr>
          <w:lang w:eastAsia="en-US"/>
        </w:rPr>
      </w:pPr>
      <w:r w:rsidRPr="0068697B">
        <w:rPr>
          <w:lang w:eastAsia="en-US"/>
        </w:rPr>
        <w:t xml:space="preserve">Сумма </w:t>
      </w:r>
      <w:proofErr w:type="gramStart"/>
      <w:r w:rsidRPr="0068697B">
        <w:rPr>
          <w:lang w:eastAsia="en-US"/>
        </w:rPr>
        <w:t>величин значимости показателей критерия оценки</w:t>
      </w:r>
      <w:proofErr w:type="gramEnd"/>
      <w:r w:rsidRPr="0068697B">
        <w:rPr>
          <w:lang w:eastAsia="en-US"/>
        </w:rPr>
        <w:t xml:space="preserve"> составляет 100 процентов.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 xml:space="preserve">Для оценки заявок по каждому критерию оценки используется 100-балльная шкала оценки. </w:t>
      </w:r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  <w:rPr>
          <w:lang w:eastAsia="ar-SA"/>
        </w:rPr>
      </w:pPr>
      <w:r w:rsidRPr="0068697B">
        <w:rPr>
          <w:lang w:eastAsia="ar-SA"/>
        </w:rPr>
        <w:t xml:space="preserve">Рейтинг заявки по критерию оценки – оценка в баллах, получаемая участником закупки по результатам оценки по критерию оценки с учетом коэффициента значимости критерия оценки. Дробное значение рейтинга округляется до двух десятичных знаков после запятой по математическим правилам округления. </w:t>
      </w:r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  <w:rPr>
          <w:lang w:eastAsia="ar-SA"/>
        </w:rPr>
      </w:pPr>
      <w:r w:rsidRPr="0068697B">
        <w:rPr>
          <w:lang w:eastAsia="ar-SA"/>
        </w:rPr>
        <w:t xml:space="preserve">Значимость критериев определяется в процентах. При этом для расчетов рейтингов применяется коэффициент значимости - </w:t>
      </w:r>
      <w:r w:rsidRPr="0068697B">
        <w:rPr>
          <w:rFonts w:cs="Calibri"/>
          <w:lang w:eastAsia="ar-SA"/>
        </w:rPr>
        <w:t>вес критерия оценки в совокупности критериев оценки, установленных в документации о закупке в соответствии с требованиями Правил, деленный на 100.</w:t>
      </w:r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  <w:rPr>
          <w:lang w:eastAsia="ar-SA"/>
        </w:rPr>
      </w:pPr>
      <w:r w:rsidRPr="0068697B">
        <w:rPr>
          <w:lang w:eastAsia="ar-SA"/>
        </w:rPr>
        <w:t xml:space="preserve">Для оценки заявок осуществляется расчет итогового рейтинга по каждой заявке. Итоговый рейтинг заявки </w:t>
      </w:r>
      <w:r w:rsidRPr="0068697B">
        <w:rPr>
          <w:rFonts w:cs="Calibri"/>
          <w:lang w:eastAsia="ar-SA"/>
        </w:rPr>
        <w:t>вычисляется как сумма рейтингов по каждому критерию оценки заявки</w:t>
      </w:r>
      <w:r w:rsidRPr="0068697B">
        <w:rPr>
          <w:lang w:eastAsia="ar-SA"/>
        </w:rPr>
        <w:t>, установленному в конкурсной документации.</w:t>
      </w:r>
    </w:p>
    <w:p w:rsidR="00B33AAC" w:rsidRPr="0068697B" w:rsidRDefault="00B33AAC" w:rsidP="00B33AAC">
      <w:pPr>
        <w:widowControl w:val="0"/>
        <w:autoSpaceDE w:val="0"/>
        <w:autoSpaceDN w:val="0"/>
        <w:adjustRightInd w:val="0"/>
        <w:ind w:left="-284" w:right="-284" w:firstLine="426"/>
        <w:rPr>
          <w:lang w:eastAsia="ar-SA"/>
        </w:rPr>
      </w:pPr>
      <w:r w:rsidRPr="0068697B">
        <w:rPr>
          <w:lang w:eastAsia="ar-SA"/>
        </w:rPr>
        <w:t xml:space="preserve"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 </w:t>
      </w:r>
    </w:p>
    <w:p w:rsidR="00B33AAC" w:rsidRPr="0068697B" w:rsidRDefault="00B33AAC" w:rsidP="00B33AAC">
      <w:pPr>
        <w:widowControl w:val="0"/>
        <w:autoSpaceDE w:val="0"/>
        <w:autoSpaceDN w:val="0"/>
        <w:adjustRightInd w:val="0"/>
        <w:ind w:left="-284" w:right="-284" w:firstLine="426"/>
        <w:rPr>
          <w:lang w:eastAsia="en-US"/>
        </w:rPr>
      </w:pPr>
      <w:r w:rsidRPr="0068697B">
        <w:rPr>
          <w:lang w:eastAsia="en-US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33AAC" w:rsidRPr="0068697B" w:rsidRDefault="00B33AAC" w:rsidP="00B33AAC">
      <w:pPr>
        <w:widowControl w:val="0"/>
        <w:autoSpaceDE w:val="0"/>
        <w:autoSpaceDN w:val="0"/>
        <w:adjustRightInd w:val="0"/>
        <w:ind w:left="-284" w:right="-284" w:firstLine="426"/>
        <w:rPr>
          <w:sz w:val="10"/>
          <w:szCs w:val="10"/>
          <w:lang w:eastAsia="en-US"/>
        </w:rPr>
      </w:pPr>
    </w:p>
    <w:p w:rsidR="00B33AAC" w:rsidRPr="0068697B" w:rsidRDefault="00B33AAC" w:rsidP="00B33AAC">
      <w:pPr>
        <w:suppressAutoHyphens/>
        <w:ind w:left="-284" w:right="-284" w:firstLine="426"/>
        <w:rPr>
          <w:b/>
          <w:bCs/>
          <w:lang w:eastAsia="ar-SA"/>
        </w:rPr>
      </w:pPr>
      <w:r w:rsidRPr="0068697B">
        <w:rPr>
          <w:b/>
          <w:bCs/>
          <w:lang w:eastAsia="ar-SA"/>
        </w:rPr>
        <w:t>1. Порядок оценки по критерию «цена контракта».</w:t>
      </w:r>
    </w:p>
    <w:p w:rsidR="00B33AAC" w:rsidRPr="0068697B" w:rsidRDefault="00B33AAC" w:rsidP="00B33AAC">
      <w:pPr>
        <w:suppressAutoHyphens/>
        <w:ind w:left="-284" w:right="-284" w:firstLine="426"/>
        <w:rPr>
          <w:bCs/>
          <w:lang w:eastAsia="ar-SA"/>
        </w:rPr>
      </w:pPr>
      <w:r w:rsidRPr="0068697B">
        <w:rPr>
          <w:bCs/>
          <w:lang w:eastAsia="ar-SA"/>
        </w:rPr>
        <w:t>Информация по данному критерию предоставляется по Форме № 4.</w:t>
      </w:r>
    </w:p>
    <w:p w:rsidR="00B33AAC" w:rsidRPr="0068697B" w:rsidRDefault="00B33AAC" w:rsidP="00B33AAC">
      <w:pPr>
        <w:widowControl w:val="0"/>
        <w:autoSpaceDE w:val="0"/>
        <w:autoSpaceDN w:val="0"/>
        <w:adjustRightInd w:val="0"/>
        <w:ind w:left="-284" w:right="-284" w:firstLine="426"/>
        <w:rPr>
          <w:lang w:eastAsia="en-US"/>
        </w:rPr>
      </w:pPr>
      <w:r w:rsidRPr="0068697B">
        <w:rPr>
          <w:lang w:eastAsia="en-US"/>
        </w:rPr>
        <w:t>Количество баллов, присуждаемых по критерию оценки "цена контракта" определяется по формуле:</w:t>
      </w:r>
    </w:p>
    <w:p w:rsidR="00B33AAC" w:rsidRPr="0068697B" w:rsidRDefault="00B33AAC" w:rsidP="00B33AAC">
      <w:pPr>
        <w:widowControl w:val="0"/>
        <w:autoSpaceDE w:val="0"/>
        <w:autoSpaceDN w:val="0"/>
        <w:adjustRightInd w:val="0"/>
        <w:ind w:left="-284" w:right="-284" w:firstLine="426"/>
        <w:jc w:val="center"/>
        <w:rPr>
          <w:lang w:eastAsia="en-US"/>
        </w:rPr>
      </w:pPr>
      <w:r w:rsidRPr="0068697B">
        <w:rPr>
          <w:noProof/>
          <w:position w:val="-30"/>
        </w:rPr>
        <w:drawing>
          <wp:inline distT="0" distB="0" distL="0" distR="0" wp14:anchorId="7112915A" wp14:editId="705F1823">
            <wp:extent cx="1031240" cy="436245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97B">
        <w:rPr>
          <w:lang w:eastAsia="en-US"/>
        </w:rPr>
        <w:t>,</w:t>
      </w:r>
    </w:p>
    <w:p w:rsidR="00B33AAC" w:rsidRPr="0068697B" w:rsidRDefault="00B33AAC" w:rsidP="00B33AAC">
      <w:pPr>
        <w:widowControl w:val="0"/>
        <w:autoSpaceDE w:val="0"/>
        <w:autoSpaceDN w:val="0"/>
        <w:adjustRightInd w:val="0"/>
        <w:ind w:left="-284" w:right="-284" w:firstLine="426"/>
        <w:rPr>
          <w:lang w:eastAsia="en-US"/>
        </w:rPr>
      </w:pPr>
      <w:r w:rsidRPr="0068697B">
        <w:rPr>
          <w:lang w:eastAsia="en-US"/>
        </w:rPr>
        <w:t>где:</w:t>
      </w:r>
    </w:p>
    <w:p w:rsidR="00B33AAC" w:rsidRPr="0068697B" w:rsidRDefault="00B33AAC" w:rsidP="00B33AAC">
      <w:pPr>
        <w:widowControl w:val="0"/>
        <w:autoSpaceDE w:val="0"/>
        <w:autoSpaceDN w:val="0"/>
        <w:adjustRightInd w:val="0"/>
        <w:ind w:left="-284" w:right="-284" w:firstLine="426"/>
        <w:rPr>
          <w:lang w:eastAsia="en-US"/>
        </w:rPr>
      </w:pPr>
      <w:r w:rsidRPr="0068697B">
        <w:rPr>
          <w:noProof/>
          <w:position w:val="-12"/>
        </w:rPr>
        <w:drawing>
          <wp:inline distT="0" distB="0" distL="0" distR="0" wp14:anchorId="23B35CE9" wp14:editId="330014E9">
            <wp:extent cx="201930" cy="23368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97B">
        <w:rPr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B33AAC" w:rsidRPr="0068697B" w:rsidRDefault="00B33AAC" w:rsidP="00B33AAC">
      <w:pPr>
        <w:widowControl w:val="0"/>
        <w:autoSpaceDE w:val="0"/>
        <w:autoSpaceDN w:val="0"/>
        <w:adjustRightInd w:val="0"/>
        <w:ind w:left="-284" w:right="-284" w:firstLine="426"/>
        <w:rPr>
          <w:lang w:eastAsia="en-US"/>
        </w:rPr>
      </w:pPr>
      <w:r w:rsidRPr="0068697B">
        <w:rPr>
          <w:noProof/>
          <w:position w:val="-12"/>
        </w:rPr>
        <w:drawing>
          <wp:inline distT="0" distB="0" distL="0" distR="0" wp14:anchorId="1811F279" wp14:editId="038FC368">
            <wp:extent cx="329565" cy="2336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97B">
        <w:rPr>
          <w:lang w:eastAsia="en-US"/>
        </w:rPr>
        <w:t xml:space="preserve"> - минимальное предложение из предложений по критерию оценки, сделанных участниками закупки;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lastRenderedPageBreak/>
        <w:t>Рейтинг по критерию «цена контракта» корректируется с учетом коэффициента значимости критерия оценки.</w:t>
      </w:r>
    </w:p>
    <w:p w:rsidR="00B33AAC" w:rsidRPr="0068697B" w:rsidRDefault="00B33AAC" w:rsidP="00B33AAC">
      <w:pPr>
        <w:suppressAutoHyphens/>
        <w:ind w:left="-284" w:right="-284" w:firstLine="426"/>
        <w:rPr>
          <w:bCs/>
          <w:sz w:val="10"/>
          <w:szCs w:val="10"/>
          <w:lang w:eastAsia="ar-SA"/>
        </w:rPr>
      </w:pPr>
    </w:p>
    <w:p w:rsidR="00B33AAC" w:rsidRPr="0068697B" w:rsidRDefault="00B33AAC" w:rsidP="00B33AAC">
      <w:pPr>
        <w:suppressAutoHyphens/>
        <w:ind w:left="-284" w:right="-284" w:firstLine="426"/>
        <w:rPr>
          <w:bCs/>
          <w:sz w:val="10"/>
          <w:szCs w:val="10"/>
          <w:lang w:eastAsia="ar-SA"/>
        </w:rPr>
      </w:pPr>
    </w:p>
    <w:p w:rsidR="00B33AAC" w:rsidRPr="0068697B" w:rsidRDefault="00B33AAC" w:rsidP="00B33AAC">
      <w:pPr>
        <w:suppressAutoHyphens/>
        <w:ind w:left="-284" w:right="-284" w:firstLine="426"/>
        <w:rPr>
          <w:bCs/>
          <w:sz w:val="10"/>
          <w:szCs w:val="10"/>
          <w:lang w:eastAsia="ar-SA"/>
        </w:rPr>
      </w:pPr>
    </w:p>
    <w:p w:rsidR="00B33AAC" w:rsidRPr="0068697B" w:rsidRDefault="00B33AAC" w:rsidP="00B33AAC">
      <w:pPr>
        <w:suppressAutoHyphens/>
        <w:ind w:left="-284" w:right="-284" w:firstLine="426"/>
        <w:rPr>
          <w:b/>
          <w:lang w:eastAsia="ar-SA"/>
        </w:rPr>
      </w:pPr>
      <w:r w:rsidRPr="0068697B">
        <w:rPr>
          <w:b/>
          <w:bCs/>
          <w:lang w:eastAsia="ar-SA"/>
        </w:rPr>
        <w:t xml:space="preserve">2. Порядок оценки заявок по </w:t>
      </w:r>
      <w:proofErr w:type="spellStart"/>
      <w:r w:rsidRPr="0068697B">
        <w:rPr>
          <w:b/>
          <w:bCs/>
          <w:lang w:eastAsia="ar-SA"/>
        </w:rPr>
        <w:t>нестоимостному</w:t>
      </w:r>
      <w:proofErr w:type="spellEnd"/>
      <w:r w:rsidRPr="0068697B">
        <w:rPr>
          <w:b/>
          <w:bCs/>
          <w:lang w:eastAsia="ar-SA"/>
        </w:rPr>
        <w:t xml:space="preserve"> критерию. </w:t>
      </w:r>
    </w:p>
    <w:p w:rsidR="00B33AAC" w:rsidRPr="0068697B" w:rsidRDefault="00B33AAC" w:rsidP="00B33AAC">
      <w:pPr>
        <w:suppressAutoHyphens/>
        <w:ind w:left="-284" w:right="-284" w:firstLine="426"/>
        <w:rPr>
          <w:u w:val="single"/>
          <w:lang w:eastAsia="ar-SA"/>
        </w:rPr>
      </w:pPr>
      <w:r w:rsidRPr="0068697B">
        <w:rPr>
          <w:u w:val="single"/>
          <w:lang w:eastAsia="ar-SA"/>
        </w:rPr>
        <w:t>2.1. Порядок оценки заявок по критерию «качественные, функциональные и экологические характеристики объекта закупок»</w:t>
      </w:r>
    </w:p>
    <w:p w:rsidR="00B33AAC" w:rsidRPr="0068697B" w:rsidRDefault="00B33AAC" w:rsidP="00B33AAC">
      <w:pPr>
        <w:suppressAutoHyphens/>
        <w:ind w:left="-284" w:right="-284" w:firstLine="426"/>
        <w:rPr>
          <w:u w:val="single"/>
          <w:lang w:eastAsia="ar-SA"/>
        </w:rPr>
      </w:pPr>
      <w:r w:rsidRPr="0068697B">
        <w:rPr>
          <w:lang w:eastAsia="ar-SA"/>
        </w:rPr>
        <w:t>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составляет 100 баллов.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>В соответствии с п. 26 Правил, количество баллов, присваиваемое заявке по критерию «качественные, функциональные и экологические характеристики объекта закупок», определяется как среднее арифметическое оценок (в баллах) всех членов комиссии сумма баллов, присуждаемых заявке по каждому из показателей данного критерия.</w:t>
      </w:r>
    </w:p>
    <w:p w:rsidR="00B33AAC" w:rsidRPr="0068697B" w:rsidRDefault="00B33AAC" w:rsidP="00B33AAC">
      <w:pPr>
        <w:suppressAutoHyphens/>
        <w:autoSpaceDE w:val="0"/>
        <w:ind w:left="-284" w:right="-284" w:firstLine="426"/>
        <w:rPr>
          <w:lang w:eastAsia="ar-SA"/>
        </w:rPr>
      </w:pPr>
      <w:proofErr w:type="gramStart"/>
      <w:r w:rsidRPr="0068697B">
        <w:rPr>
          <w:lang w:eastAsia="ar-SA"/>
        </w:rPr>
        <w:t xml:space="preserve">Рейтинг, присуждаемый </w:t>
      </w:r>
      <w:proofErr w:type="spellStart"/>
      <w:r w:rsidRPr="0068697B">
        <w:rPr>
          <w:lang w:val="en-US" w:eastAsia="ar-SA"/>
        </w:rPr>
        <w:t>i</w:t>
      </w:r>
      <w:proofErr w:type="spellEnd"/>
      <w:r w:rsidRPr="0068697B">
        <w:rPr>
          <w:lang w:eastAsia="ar-SA"/>
        </w:rPr>
        <w:t>-й заявке  по данному критерию определяется</w:t>
      </w:r>
      <w:proofErr w:type="gramEnd"/>
      <w:r w:rsidRPr="0068697B">
        <w:rPr>
          <w:lang w:eastAsia="ar-SA"/>
        </w:rPr>
        <w:t xml:space="preserve"> по формуле:</w:t>
      </w:r>
    </w:p>
    <w:p w:rsidR="00B33AAC" w:rsidRPr="0068697B" w:rsidRDefault="00B33AAC" w:rsidP="00B33AAC">
      <w:pPr>
        <w:suppressAutoHyphens/>
        <w:autoSpaceDE w:val="0"/>
        <w:ind w:left="-284" w:right="-284" w:firstLine="426"/>
        <w:rPr>
          <w:lang w:eastAsia="ar-SA"/>
        </w:rPr>
      </w:pPr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  <w:rPr>
          <w:rFonts w:ascii="Courier New" w:hAnsi="Courier New" w:cs="Courier New"/>
          <w:sz w:val="20"/>
          <w:szCs w:val="20"/>
        </w:rPr>
      </w:pPr>
      <w:r w:rsidRPr="0068697B">
        <w:rPr>
          <w:rFonts w:ascii="Courier New" w:hAnsi="Courier New" w:cs="Courier New"/>
        </w:rPr>
        <w:t xml:space="preserve">                                </w:t>
      </w:r>
      <w:r w:rsidRPr="0068697B">
        <w:rPr>
          <w:rFonts w:ascii="Courier New" w:hAnsi="Courier New" w:cs="Courier New"/>
          <w:sz w:val="20"/>
          <w:szCs w:val="20"/>
        </w:rPr>
        <w:t xml:space="preserve">i    </w:t>
      </w:r>
      <w:proofErr w:type="spellStart"/>
      <w:r w:rsidRPr="0068697B">
        <w:rPr>
          <w:rFonts w:ascii="Courier New" w:hAnsi="Courier New" w:cs="Courier New"/>
          <w:sz w:val="20"/>
          <w:szCs w:val="20"/>
        </w:rPr>
        <w:t>i</w:t>
      </w:r>
      <w:proofErr w:type="spellEnd"/>
      <w:r w:rsidRPr="0068697B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68697B">
        <w:rPr>
          <w:rFonts w:ascii="Courier New" w:hAnsi="Courier New" w:cs="Courier New"/>
          <w:sz w:val="20"/>
          <w:szCs w:val="20"/>
        </w:rPr>
        <w:t>i</w:t>
      </w:r>
      <w:proofErr w:type="spellEnd"/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  <w:rPr>
          <w:rFonts w:ascii="Courier New" w:hAnsi="Courier New" w:cs="Courier New"/>
        </w:rPr>
      </w:pPr>
      <w:r w:rsidRPr="0068697B">
        <w:rPr>
          <w:rFonts w:ascii="Courier New" w:hAnsi="Courier New" w:cs="Courier New"/>
        </w:rPr>
        <w:t xml:space="preserve">                         </w:t>
      </w:r>
      <w:proofErr w:type="spellStart"/>
      <w:r w:rsidRPr="0068697B">
        <w:rPr>
          <w:rFonts w:ascii="Courier New" w:hAnsi="Courier New" w:cs="Courier New"/>
        </w:rPr>
        <w:t>Rc</w:t>
      </w:r>
      <w:proofErr w:type="spellEnd"/>
      <w:r w:rsidRPr="0068697B">
        <w:rPr>
          <w:rFonts w:ascii="Courier New" w:hAnsi="Courier New" w:cs="Courier New"/>
        </w:rPr>
        <w:t xml:space="preserve">  = C  + C  + … + C ,</w:t>
      </w:r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  <w:rPr>
          <w:rFonts w:ascii="Courier New" w:hAnsi="Courier New" w:cs="Courier New"/>
          <w:sz w:val="20"/>
          <w:szCs w:val="20"/>
        </w:rPr>
      </w:pPr>
      <w:r w:rsidRPr="0068697B">
        <w:rPr>
          <w:rFonts w:ascii="Courier New" w:hAnsi="Courier New" w:cs="Courier New"/>
        </w:rPr>
        <w:t xml:space="preserve">                           </w:t>
      </w:r>
      <w:r w:rsidRPr="0068697B">
        <w:rPr>
          <w:rFonts w:ascii="Courier New" w:hAnsi="Courier New" w:cs="Courier New"/>
          <w:sz w:val="20"/>
          <w:szCs w:val="20"/>
        </w:rPr>
        <w:t>i     1     2          k</w:t>
      </w:r>
    </w:p>
    <w:p w:rsidR="00B33AAC" w:rsidRPr="0068697B" w:rsidRDefault="00B33AAC" w:rsidP="00B33AAC">
      <w:pPr>
        <w:suppressAutoHyphens/>
        <w:autoSpaceDE w:val="0"/>
        <w:ind w:left="-284" w:right="-284" w:firstLine="426"/>
        <w:rPr>
          <w:lang w:eastAsia="ar-SA"/>
        </w:rPr>
      </w:pPr>
      <w:r w:rsidRPr="0068697B">
        <w:rPr>
          <w:lang w:eastAsia="ar-SA"/>
        </w:rPr>
        <w:t xml:space="preserve">где: </w:t>
      </w:r>
      <w:proofErr w:type="spellStart"/>
      <w:r w:rsidRPr="0068697B">
        <w:rPr>
          <w:lang w:val="en-US" w:eastAsia="ar-SA"/>
        </w:rPr>
        <w:t>Rci</w:t>
      </w:r>
      <w:proofErr w:type="spellEnd"/>
      <w:r w:rsidRPr="0068697B">
        <w:rPr>
          <w:lang w:eastAsia="ar-SA"/>
        </w:rPr>
        <w:t xml:space="preserve"> – рейтинг, присуждаемый </w:t>
      </w:r>
      <w:proofErr w:type="spellStart"/>
      <w:r w:rsidRPr="0068697B">
        <w:rPr>
          <w:lang w:val="en-US" w:eastAsia="ar-SA"/>
        </w:rPr>
        <w:t>i</w:t>
      </w:r>
      <w:proofErr w:type="spellEnd"/>
      <w:r w:rsidRPr="0068697B">
        <w:rPr>
          <w:lang w:eastAsia="ar-SA"/>
        </w:rPr>
        <w:t>-й заявке по указанному критерию;</w:t>
      </w:r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</w:pPr>
      <w:r w:rsidRPr="0068697B">
        <w:t xml:space="preserve">     i</w:t>
      </w:r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</w:pPr>
      <w:r w:rsidRPr="0068697B">
        <w:t xml:space="preserve">  C    -  значение  в баллах по каждому показателю критерия</w:t>
      </w:r>
      <w:r w:rsidRPr="0068697B">
        <w:rPr>
          <w:lang w:eastAsia="ar-SA"/>
        </w:rPr>
        <w:t>,</w:t>
      </w:r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</w:pPr>
      <w:r w:rsidRPr="0068697B">
        <w:t xml:space="preserve">     k</w:t>
      </w:r>
    </w:p>
    <w:p w:rsidR="00B33AAC" w:rsidRPr="0068697B" w:rsidRDefault="00B33AAC" w:rsidP="00B33AAC">
      <w:pPr>
        <w:suppressAutoHyphens/>
        <w:autoSpaceDE w:val="0"/>
        <w:ind w:left="-284" w:right="-284" w:firstLine="426"/>
        <w:rPr>
          <w:lang w:eastAsia="ar-SA"/>
        </w:rPr>
      </w:pPr>
      <w:r w:rsidRPr="0068697B">
        <w:rPr>
          <w:lang w:eastAsia="ar-SA"/>
        </w:rPr>
        <w:t xml:space="preserve">получаемое участником закупки по результатам оценки по показателям критерия оценки присуждаемое комиссией </w:t>
      </w:r>
      <w:proofErr w:type="spellStart"/>
      <w:r w:rsidRPr="0068697B">
        <w:rPr>
          <w:lang w:val="en-US" w:eastAsia="ar-SA"/>
        </w:rPr>
        <w:t>i</w:t>
      </w:r>
      <w:proofErr w:type="spellEnd"/>
      <w:r w:rsidRPr="0068697B">
        <w:rPr>
          <w:lang w:eastAsia="ar-SA"/>
        </w:rPr>
        <w:t xml:space="preserve">-й заявке на участие в конкурсе по </w:t>
      </w:r>
      <w:r w:rsidRPr="0068697B">
        <w:rPr>
          <w:lang w:val="en-US" w:eastAsia="ar-SA"/>
        </w:rPr>
        <w:t>k</w:t>
      </w:r>
      <w:r w:rsidRPr="0068697B">
        <w:rPr>
          <w:lang w:eastAsia="ar-SA"/>
        </w:rPr>
        <w:t xml:space="preserve">-му показателю, где </w:t>
      </w:r>
      <w:r w:rsidRPr="0068697B">
        <w:rPr>
          <w:lang w:val="en-US" w:eastAsia="ar-SA"/>
        </w:rPr>
        <w:t>k</w:t>
      </w:r>
      <w:r w:rsidRPr="0068697B">
        <w:rPr>
          <w:lang w:eastAsia="ar-SA"/>
        </w:rPr>
        <w:t xml:space="preserve"> – количество установленных показателей.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>Для определения рейтинга заявки по критерию «качественные, функциональные и экологические характеристики объекта закупок» установлены следующие показатели:</w:t>
      </w:r>
    </w:p>
    <w:p w:rsidR="00B33AAC" w:rsidRPr="0068697B" w:rsidRDefault="00B33AAC" w:rsidP="00B33AAC">
      <w:pPr>
        <w:suppressAutoHyphens/>
        <w:ind w:left="-284" w:right="-284" w:firstLine="426"/>
        <w:rPr>
          <w:sz w:val="10"/>
          <w:szCs w:val="10"/>
          <w:lang w:eastAsia="ar-SA"/>
        </w:rPr>
      </w:pP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>2.1.1. Гарантийный срок на протезы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Гарантийные сроки на протезы, установленные участником закупки, соответствуют и превышают сроки, установленные Техническим заданием: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- гарантийный срок на протезы соответствует срокам, установленным Техническим заданием – 0 баллов:</w:t>
      </w:r>
    </w:p>
    <w:p w:rsidR="00B33AAC" w:rsidRPr="0068697B" w:rsidRDefault="00B33AAC" w:rsidP="00B33AAC">
      <w:pPr>
        <w:suppressAutoHyphens/>
        <w:ind w:left="-284" w:right="-284"/>
      </w:pPr>
      <w:r w:rsidRPr="0068697B">
        <w:t>Гарантийный срок не менее 7 месяцев (по позициям 5, 12 Технического задания);</w:t>
      </w:r>
    </w:p>
    <w:p w:rsidR="00B33AAC" w:rsidRPr="0068697B" w:rsidRDefault="00B33AAC" w:rsidP="00B33AAC">
      <w:pPr>
        <w:suppressAutoHyphens/>
        <w:ind w:left="-284" w:right="-284"/>
      </w:pPr>
      <w:r w:rsidRPr="0068697B">
        <w:t>Гарантийный срок не менее 12 месяцев (по позициям 1-4, 6-11, 13-18 Технического задания);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- гарантийный срок по всем видам протезов превышает сроки, установленные Техническим заданием, на срок 6 месяцев - 50 баллов:</w:t>
      </w:r>
    </w:p>
    <w:p w:rsidR="00B33AAC" w:rsidRPr="0068697B" w:rsidRDefault="00B33AAC" w:rsidP="00B33AAC">
      <w:pPr>
        <w:suppressAutoHyphens/>
        <w:ind w:left="-284" w:right="-284"/>
      </w:pPr>
      <w:r w:rsidRPr="0068697B">
        <w:t>Гарантийный срок не менее 13 месяцев (по позициям 5, 12 Технического задания);</w:t>
      </w:r>
    </w:p>
    <w:p w:rsidR="00B33AAC" w:rsidRPr="0068697B" w:rsidRDefault="00B33AAC" w:rsidP="00B33AAC">
      <w:pPr>
        <w:suppressAutoHyphens/>
        <w:ind w:left="-284" w:right="-284"/>
      </w:pPr>
      <w:r w:rsidRPr="0068697B">
        <w:t>Гарантийный срок не менее 18 месяцев (по позициям 1-4, 6-11, 13-18 Технического задания);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- гарантийный срок по всем видам протезов превышает сроки, установленные Техническим заданием, на срок 12 месяцев - 100 баллов:</w:t>
      </w:r>
    </w:p>
    <w:p w:rsidR="00B33AAC" w:rsidRPr="0068697B" w:rsidRDefault="00B33AAC" w:rsidP="00B33AAC">
      <w:pPr>
        <w:suppressAutoHyphens/>
        <w:ind w:left="-284" w:right="-284"/>
      </w:pPr>
      <w:r w:rsidRPr="0068697B">
        <w:t>Гарантийный срок не менее 19 месяцев (по позициям 5, 12 Технического задания);</w:t>
      </w:r>
    </w:p>
    <w:p w:rsidR="00B33AAC" w:rsidRPr="0068697B" w:rsidRDefault="00B33AAC" w:rsidP="00B33AAC">
      <w:pPr>
        <w:suppressAutoHyphens/>
        <w:ind w:left="-284" w:right="-284"/>
      </w:pPr>
      <w:r w:rsidRPr="0068697B">
        <w:t>Гарантийный срок не менее 24 месяца (по позициям 1-4, 6-11, 13-18  Технического задания).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t>Максимальное количество баллов по данному показателю – 100 баллов.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>Информация по данному критерию предоставляется в виде Формы № 5.</w:t>
      </w:r>
    </w:p>
    <w:p w:rsidR="00B33AAC" w:rsidRPr="0068697B" w:rsidRDefault="00B33AAC" w:rsidP="00B33AAC">
      <w:pPr>
        <w:suppressAutoHyphens/>
        <w:ind w:left="-284" w:right="-284" w:firstLine="426"/>
        <w:rPr>
          <w:bCs/>
          <w:sz w:val="10"/>
          <w:szCs w:val="10"/>
          <w:u w:val="single"/>
          <w:lang w:eastAsia="ar-SA"/>
        </w:rPr>
      </w:pPr>
    </w:p>
    <w:p w:rsidR="00B33AAC" w:rsidRPr="0068697B" w:rsidRDefault="00B33AAC" w:rsidP="00B33AAC">
      <w:pPr>
        <w:numPr>
          <w:ilvl w:val="1"/>
          <w:numId w:val="2"/>
        </w:numPr>
        <w:suppressAutoHyphens/>
        <w:spacing w:after="200" w:line="276" w:lineRule="auto"/>
        <w:ind w:left="-284" w:right="-284" w:firstLine="426"/>
        <w:contextualSpacing/>
        <w:rPr>
          <w:bCs/>
          <w:u w:val="single"/>
          <w:lang w:eastAsia="ar-SA"/>
        </w:rPr>
      </w:pPr>
      <w:r w:rsidRPr="0068697B">
        <w:rPr>
          <w:bCs/>
          <w:u w:val="single"/>
          <w:lang w:eastAsia="ar-SA"/>
        </w:rPr>
        <w:lastRenderedPageBreak/>
        <w:t xml:space="preserve"> Порядок оценки заявок по критерию «</w:t>
      </w:r>
      <w:r w:rsidRPr="0068697B">
        <w:rPr>
          <w:u w:val="single"/>
          <w:lang w:eastAsia="ar-SA"/>
        </w:rPr>
        <w:t>квалификация участников закупки</w:t>
      </w:r>
      <w:r w:rsidRPr="0068697B">
        <w:rPr>
          <w:bCs/>
          <w:u w:val="single"/>
          <w:lang w:eastAsia="ar-SA"/>
        </w:rPr>
        <w:t>»</w:t>
      </w:r>
    </w:p>
    <w:p w:rsidR="00B33AAC" w:rsidRPr="0068697B" w:rsidRDefault="00B33AAC" w:rsidP="00B33AAC">
      <w:pPr>
        <w:suppressAutoHyphens/>
        <w:ind w:left="-284" w:right="-284" w:firstLine="426"/>
        <w:rPr>
          <w:bCs/>
          <w:lang w:eastAsia="ar-SA"/>
        </w:rPr>
      </w:pPr>
      <w:r w:rsidRPr="0068697B">
        <w:rPr>
          <w:lang w:eastAsia="ar-SA"/>
        </w:rPr>
        <w:t>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составляет 100 баллов.</w:t>
      </w:r>
    </w:p>
    <w:p w:rsidR="00B33AAC" w:rsidRPr="0068697B" w:rsidRDefault="00B33AAC" w:rsidP="00B33AAC">
      <w:pPr>
        <w:suppressAutoHyphens/>
        <w:ind w:left="-284" w:right="-284" w:firstLine="426"/>
        <w:rPr>
          <w:bCs/>
          <w:lang w:eastAsia="ar-SA"/>
        </w:rPr>
      </w:pPr>
      <w:r w:rsidRPr="0068697B">
        <w:rPr>
          <w:bCs/>
          <w:lang w:eastAsia="ar-SA"/>
        </w:rPr>
        <w:t xml:space="preserve">В соответствии с п.28 </w:t>
      </w:r>
      <w:proofErr w:type="gramStart"/>
      <w:r w:rsidRPr="0068697B">
        <w:rPr>
          <w:bCs/>
          <w:lang w:eastAsia="ar-SA"/>
        </w:rPr>
        <w:t>Правил</w:t>
      </w:r>
      <w:proofErr w:type="gramEnd"/>
      <w:r w:rsidRPr="0068697B">
        <w:rPr>
          <w:bCs/>
          <w:lang w:eastAsia="ar-SA"/>
        </w:rPr>
        <w:t xml:space="preserve"> оценка заявок по </w:t>
      </w:r>
      <w:proofErr w:type="spellStart"/>
      <w:r w:rsidRPr="0068697B">
        <w:rPr>
          <w:bCs/>
          <w:lang w:eastAsia="ar-SA"/>
        </w:rPr>
        <w:t>нестоимостному</w:t>
      </w:r>
      <w:proofErr w:type="spellEnd"/>
      <w:r w:rsidRPr="0068697B">
        <w:rPr>
          <w:bCs/>
          <w:lang w:eastAsia="ar-SA"/>
        </w:rPr>
        <w:t xml:space="preserve"> критерию оценки «квалификация участников закупки» производится </w:t>
      </w:r>
      <w:r w:rsidRPr="0068697B">
        <w:rPr>
          <w:bCs/>
          <w:lang w:val="en-US" w:eastAsia="ar-SA"/>
        </w:rPr>
        <w:t>c</w:t>
      </w:r>
      <w:r w:rsidRPr="0068697B">
        <w:rPr>
          <w:bCs/>
          <w:lang w:eastAsia="ar-SA"/>
        </w:rPr>
        <w:t xml:space="preserve"> учетом установленных в конкурсной документации показателей, раскрывающих содержание соответствующего критерия  оценки, с указанием предельно необходимого значения. </w:t>
      </w:r>
    </w:p>
    <w:p w:rsidR="00B33AAC" w:rsidRPr="0068697B" w:rsidRDefault="00B33AAC" w:rsidP="00B33AAC">
      <w:pPr>
        <w:suppressAutoHyphens/>
        <w:ind w:left="-284" w:right="-284" w:firstLine="426"/>
        <w:rPr>
          <w:bCs/>
          <w:lang w:eastAsia="ar-SA"/>
        </w:rPr>
      </w:pPr>
      <w:r w:rsidRPr="0068697B">
        <w:rPr>
          <w:bCs/>
          <w:lang w:eastAsia="ar-SA"/>
        </w:rPr>
        <w:t>В целях оценки заявок используется шкала оценки, т.е. установлено количество баллов, присуждаемое за определенное значение критерия оценки (показателя), предложенное участником закупки. Значение, определенное в соответствии со шкалой оценки, должно быть скорректировано с учетом коэффициента значимости показателя.</w:t>
      </w:r>
    </w:p>
    <w:p w:rsidR="00B33AAC" w:rsidRPr="0068697B" w:rsidRDefault="00B33AAC" w:rsidP="00B33AAC">
      <w:pPr>
        <w:suppressAutoHyphens/>
        <w:autoSpaceDE w:val="0"/>
        <w:ind w:left="-284" w:right="-284" w:firstLine="426"/>
        <w:rPr>
          <w:lang w:eastAsia="ar-SA"/>
        </w:rPr>
      </w:pPr>
      <w:proofErr w:type="gramStart"/>
      <w:r w:rsidRPr="0068697B">
        <w:rPr>
          <w:lang w:eastAsia="ar-SA"/>
        </w:rPr>
        <w:t xml:space="preserve">Рейтинг, присуждаемый </w:t>
      </w:r>
      <w:proofErr w:type="spellStart"/>
      <w:r w:rsidRPr="0068697B">
        <w:rPr>
          <w:lang w:val="en-US" w:eastAsia="ar-SA"/>
        </w:rPr>
        <w:t>i</w:t>
      </w:r>
      <w:proofErr w:type="spellEnd"/>
      <w:r w:rsidRPr="0068697B">
        <w:rPr>
          <w:lang w:eastAsia="ar-SA"/>
        </w:rPr>
        <w:t>-й заявке  по данному критерию определяется</w:t>
      </w:r>
      <w:proofErr w:type="gramEnd"/>
      <w:r w:rsidRPr="0068697B">
        <w:rPr>
          <w:lang w:eastAsia="ar-SA"/>
        </w:rPr>
        <w:t xml:space="preserve"> по формуле:</w:t>
      </w:r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  <w:rPr>
          <w:rFonts w:ascii="Courier New" w:hAnsi="Courier New" w:cs="Courier New"/>
          <w:sz w:val="20"/>
          <w:szCs w:val="20"/>
        </w:rPr>
      </w:pPr>
      <w:r w:rsidRPr="0068697B">
        <w:rPr>
          <w:rFonts w:ascii="Courier New" w:hAnsi="Courier New" w:cs="Courier New"/>
        </w:rPr>
        <w:t xml:space="preserve">                                </w:t>
      </w:r>
      <w:r w:rsidRPr="0068697B">
        <w:rPr>
          <w:rFonts w:ascii="Courier New" w:hAnsi="Courier New" w:cs="Courier New"/>
          <w:sz w:val="20"/>
          <w:szCs w:val="20"/>
        </w:rPr>
        <w:t xml:space="preserve">i     </w:t>
      </w:r>
      <w:proofErr w:type="spellStart"/>
      <w:r w:rsidRPr="0068697B">
        <w:rPr>
          <w:rFonts w:ascii="Courier New" w:hAnsi="Courier New" w:cs="Courier New"/>
          <w:sz w:val="20"/>
          <w:szCs w:val="20"/>
        </w:rPr>
        <w:t>i</w:t>
      </w:r>
      <w:proofErr w:type="spellEnd"/>
      <w:r w:rsidRPr="0068697B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68697B">
        <w:rPr>
          <w:rFonts w:ascii="Courier New" w:hAnsi="Courier New" w:cs="Courier New"/>
          <w:sz w:val="20"/>
          <w:szCs w:val="20"/>
        </w:rPr>
        <w:t>i</w:t>
      </w:r>
      <w:proofErr w:type="spellEnd"/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  <w:rPr>
          <w:rFonts w:ascii="Courier New" w:hAnsi="Courier New" w:cs="Courier New"/>
        </w:rPr>
      </w:pPr>
      <w:r w:rsidRPr="0068697B">
        <w:rPr>
          <w:rFonts w:ascii="Courier New" w:hAnsi="Courier New" w:cs="Courier New"/>
        </w:rPr>
        <w:t xml:space="preserve">                         </w:t>
      </w:r>
      <w:proofErr w:type="spellStart"/>
      <w:r w:rsidRPr="0068697B">
        <w:rPr>
          <w:rFonts w:ascii="Courier New" w:hAnsi="Courier New" w:cs="Courier New"/>
        </w:rPr>
        <w:t>Rc</w:t>
      </w:r>
      <w:proofErr w:type="spellEnd"/>
      <w:r w:rsidRPr="0068697B">
        <w:rPr>
          <w:rFonts w:ascii="Courier New" w:hAnsi="Courier New" w:cs="Courier New"/>
        </w:rPr>
        <w:t xml:space="preserve">  = C  + C  + … + C ,</w:t>
      </w:r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  <w:rPr>
          <w:rFonts w:ascii="Courier New" w:hAnsi="Courier New" w:cs="Courier New"/>
          <w:sz w:val="20"/>
          <w:szCs w:val="20"/>
        </w:rPr>
      </w:pPr>
      <w:r w:rsidRPr="0068697B">
        <w:rPr>
          <w:rFonts w:ascii="Courier New" w:hAnsi="Courier New" w:cs="Courier New"/>
        </w:rPr>
        <w:t xml:space="preserve">                           </w:t>
      </w:r>
      <w:r w:rsidRPr="0068697B">
        <w:rPr>
          <w:rFonts w:ascii="Courier New" w:hAnsi="Courier New" w:cs="Courier New"/>
          <w:sz w:val="20"/>
          <w:szCs w:val="20"/>
        </w:rPr>
        <w:t>i     1     2          k</w:t>
      </w:r>
    </w:p>
    <w:p w:rsidR="00B33AAC" w:rsidRPr="0068697B" w:rsidRDefault="00B33AAC" w:rsidP="00B33AAC">
      <w:pPr>
        <w:suppressAutoHyphens/>
        <w:autoSpaceDE w:val="0"/>
        <w:ind w:left="-284" w:right="-284" w:firstLine="426"/>
        <w:rPr>
          <w:lang w:eastAsia="ar-SA"/>
        </w:rPr>
      </w:pPr>
      <w:r w:rsidRPr="0068697B">
        <w:rPr>
          <w:lang w:eastAsia="ar-SA"/>
        </w:rPr>
        <w:t xml:space="preserve">где: </w:t>
      </w:r>
      <w:proofErr w:type="spellStart"/>
      <w:r w:rsidRPr="0068697B">
        <w:rPr>
          <w:lang w:val="en-US" w:eastAsia="ar-SA"/>
        </w:rPr>
        <w:t>Rci</w:t>
      </w:r>
      <w:proofErr w:type="spellEnd"/>
      <w:r w:rsidRPr="0068697B">
        <w:rPr>
          <w:lang w:eastAsia="ar-SA"/>
        </w:rPr>
        <w:t xml:space="preserve"> – рейтинг, присуждаемый </w:t>
      </w:r>
      <w:proofErr w:type="spellStart"/>
      <w:r w:rsidRPr="0068697B">
        <w:rPr>
          <w:lang w:val="en-US" w:eastAsia="ar-SA"/>
        </w:rPr>
        <w:t>i</w:t>
      </w:r>
      <w:proofErr w:type="spellEnd"/>
      <w:r w:rsidRPr="0068697B">
        <w:rPr>
          <w:lang w:eastAsia="ar-SA"/>
        </w:rPr>
        <w:t>-й заявке по указанному критерию;</w:t>
      </w:r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</w:pPr>
      <w:r w:rsidRPr="0068697B">
        <w:t xml:space="preserve">  i</w:t>
      </w:r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</w:pPr>
      <w:r w:rsidRPr="0068697B">
        <w:t xml:space="preserve">C - значение  в баллах, получаемое участником закупки по результатам оценки </w:t>
      </w:r>
      <w:proofErr w:type="gramStart"/>
      <w:r w:rsidRPr="0068697B">
        <w:t>по</w:t>
      </w:r>
      <w:proofErr w:type="gramEnd"/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</w:pPr>
      <w:r w:rsidRPr="0068697B">
        <w:t xml:space="preserve">  k</w:t>
      </w:r>
    </w:p>
    <w:p w:rsidR="00B33AAC" w:rsidRPr="0068697B" w:rsidRDefault="00B33AAC" w:rsidP="00B33AAC">
      <w:pPr>
        <w:suppressAutoHyphens/>
        <w:autoSpaceDE w:val="0"/>
        <w:ind w:left="-284" w:right="-284" w:firstLine="426"/>
        <w:rPr>
          <w:lang w:eastAsia="ar-SA"/>
        </w:rPr>
      </w:pPr>
      <w:r w:rsidRPr="0068697B">
        <w:rPr>
          <w:lang w:eastAsia="ar-SA"/>
        </w:rPr>
        <w:t xml:space="preserve">показателям критерия оценки присуждаемое комиссией </w:t>
      </w:r>
      <w:proofErr w:type="spellStart"/>
      <w:r w:rsidRPr="0068697B">
        <w:rPr>
          <w:lang w:val="en-US" w:eastAsia="ar-SA"/>
        </w:rPr>
        <w:t>i</w:t>
      </w:r>
      <w:proofErr w:type="spellEnd"/>
      <w:r w:rsidRPr="0068697B">
        <w:rPr>
          <w:lang w:eastAsia="ar-SA"/>
        </w:rPr>
        <w:t xml:space="preserve">-й заявке на участие в конкурсе по </w:t>
      </w:r>
      <w:r w:rsidRPr="0068697B">
        <w:rPr>
          <w:lang w:val="en-US" w:eastAsia="ar-SA"/>
        </w:rPr>
        <w:t>k</w:t>
      </w:r>
      <w:r w:rsidRPr="0068697B">
        <w:rPr>
          <w:lang w:eastAsia="ar-SA"/>
        </w:rPr>
        <w:t xml:space="preserve">-му показателю, где </w:t>
      </w:r>
      <w:r w:rsidRPr="0068697B">
        <w:rPr>
          <w:lang w:val="en-US" w:eastAsia="ar-SA"/>
        </w:rPr>
        <w:t>k</w:t>
      </w:r>
      <w:r w:rsidRPr="0068697B">
        <w:rPr>
          <w:lang w:eastAsia="ar-SA"/>
        </w:rPr>
        <w:t xml:space="preserve"> – количество установленных показателей.</w:t>
      </w:r>
    </w:p>
    <w:p w:rsidR="00B33AAC" w:rsidRPr="0068697B" w:rsidRDefault="00B33AAC" w:rsidP="00B33AAC">
      <w:pPr>
        <w:suppressAutoHyphens/>
        <w:ind w:left="-284" w:right="-284" w:firstLine="426"/>
        <w:rPr>
          <w:bCs/>
          <w:sz w:val="10"/>
          <w:szCs w:val="10"/>
          <w:lang w:eastAsia="ar-SA"/>
        </w:rPr>
      </w:pP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 xml:space="preserve">Для определения рейтинга заявки по критерию </w:t>
      </w:r>
      <w:r w:rsidRPr="0068697B">
        <w:rPr>
          <w:bCs/>
          <w:lang w:eastAsia="ar-SA"/>
        </w:rPr>
        <w:t>«</w:t>
      </w:r>
      <w:r w:rsidRPr="0068697B">
        <w:rPr>
          <w:lang w:eastAsia="ar-SA"/>
        </w:rPr>
        <w:t>квалификация участников закупки</w:t>
      </w:r>
      <w:r w:rsidRPr="0068697B">
        <w:rPr>
          <w:bCs/>
          <w:lang w:eastAsia="ar-SA"/>
        </w:rPr>
        <w:t xml:space="preserve">» </w:t>
      </w:r>
      <w:r w:rsidRPr="0068697B">
        <w:rPr>
          <w:lang w:eastAsia="ar-SA"/>
        </w:rPr>
        <w:t>установлены следующие показатели:</w:t>
      </w:r>
    </w:p>
    <w:p w:rsidR="00B33AAC" w:rsidRPr="0068697B" w:rsidRDefault="00B33AAC" w:rsidP="00B33AAC">
      <w:pPr>
        <w:suppressAutoHyphens/>
        <w:ind w:left="-284" w:right="-284" w:firstLine="426"/>
        <w:rPr>
          <w:sz w:val="10"/>
          <w:szCs w:val="10"/>
        </w:rPr>
      </w:pP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2.2.1. Наличие или отсутствие круглосуточного стационара по месту протезирования: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стационар отсутствует - 0 баллов;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стационар имеется - 30 баллов.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Максимальное количество баллов, выставляемых по данному показателю – 30 баллов.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Сведения об имеющемся круглосуточном стационаре по месту протезирования предоставляется в виде таблицы по Форме № 6. Сведения подтверждаются копиями документов. Неподтвержденные копиями документов сведения в Форме № 6 к расчету не принимаются.</w:t>
      </w:r>
    </w:p>
    <w:p w:rsidR="00B33AAC" w:rsidRPr="0068697B" w:rsidRDefault="00B33AAC" w:rsidP="00B33AAC">
      <w:pPr>
        <w:suppressAutoHyphens/>
        <w:ind w:left="-284" w:right="-284" w:firstLine="426"/>
        <w:rPr>
          <w:sz w:val="10"/>
          <w:szCs w:val="10"/>
        </w:rPr>
      </w:pP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2.2.2. Наличие или отсутствие выездных бригад для обслуживания получателя на дому на территории Твери и Тверской области в составе врача и технического специалиста (техника протезиста или инженера-протезиста), работающих у участника закупки на постоянной основе: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бригад не имеется – 0 баллов;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1 бригада – 10 баллов;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2 бригады – 20 баллов;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3 бригады и более – 30 баллов.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t>Максимальное количество баллов, выставляемых по данному показателю – 30 баллов.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Сведения по данному показателю предоставляются в виде Формы № 7. Все сведения подтверждаются копиями дипломов, копиями сертификатов о прохождении квалификации в установленном порядке, копиями трудовых книжек, другими документами. Не допускается включение в состав выездны</w:t>
      </w:r>
      <w:proofErr w:type="gramStart"/>
      <w:r w:rsidRPr="0068697B">
        <w:t>х(</w:t>
      </w:r>
      <w:proofErr w:type="gramEnd"/>
      <w:r w:rsidRPr="0068697B">
        <w:t>ой) бригад(ы) сотрудников, работающих по совместительству.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t>Неподтвержденные копиями документов сведения в Форме № 7 к расчету не принимаются.</w:t>
      </w:r>
    </w:p>
    <w:p w:rsidR="00B33AAC" w:rsidRPr="0068697B" w:rsidRDefault="00B33AAC" w:rsidP="00B33AAC">
      <w:pPr>
        <w:suppressAutoHyphens/>
        <w:ind w:left="-284" w:right="-284" w:firstLine="426"/>
        <w:rPr>
          <w:sz w:val="10"/>
          <w:szCs w:val="10"/>
        </w:rPr>
      </w:pPr>
      <w:r w:rsidRPr="0068697B">
        <w:rPr>
          <w:sz w:val="10"/>
          <w:szCs w:val="10"/>
        </w:rPr>
        <w:t xml:space="preserve">      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lastRenderedPageBreak/>
        <w:t>2.2.3. Наличие или отсутствие опыта выполнения аналогичных работ за 2015-2017 годы: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- отсутствие сведений об опыте выполнения аналогичных работ организациям за 2015-2017 годы– 0 баллов;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- представлены документы, подтверждающие опыт выполнения аналогичных работ организациям за 2015-2017 годы, в количестве 5 и менее контрактов – 15 баллов;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- представлены документы, подтверждающие опыт выполнения аналогичных работ организациям за 2015-2017 годы, в количестве от 6 до 10 включительно контрактов – 25 баллов;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- представлены документы, подтверждающие опыт выполнения аналогичных работ организациям за 2015-2017 годы, в количестве более 10 контрактов – 40 баллов;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Максимальное количество баллов, выставляемых по данному показателю – 40 баллов.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 xml:space="preserve">Сведения по данному показателю предоставляются в виде Формы № 8. Копии контрактов и итоговых актов выполненных работ прилагаются. Допускается представление государственных контрактов, заключенных реорганизованным юридическим лицом, правопреемником которого является участник закупки. Неподтвержденные копиями документов сведения в Форме № 8 к расчету не принимаются. </w:t>
      </w:r>
    </w:p>
    <w:p w:rsidR="00B33AAC" w:rsidRPr="0068697B" w:rsidRDefault="00B33AAC" w:rsidP="00B33AAC">
      <w:pPr>
        <w:ind w:left="-284" w:right="-284" w:firstLine="426"/>
      </w:pPr>
      <w:proofErr w:type="gramStart"/>
      <w:r w:rsidRPr="0068697B">
        <w:t>При этом в качестве аналогичных учитываются контракты на выполнение работ, одновременно отвечающие следующим критериям:</w:t>
      </w:r>
      <w:proofErr w:type="gramEnd"/>
    </w:p>
    <w:p w:rsidR="00B33AAC" w:rsidRPr="0068697B" w:rsidRDefault="00B33AAC" w:rsidP="00B33AAC">
      <w:pPr>
        <w:ind w:left="-284" w:right="-284" w:firstLine="426"/>
      </w:pPr>
      <w:r w:rsidRPr="0068697B">
        <w:t>- предметом контракта должно быть выполнение работ по изготовлению протезов нижних конечностей для инвалидов, в том числе для застрахованных лиц, пострадавших вследствие несчастных случаев на производстве и профессиональных заболеваний;</w:t>
      </w:r>
    </w:p>
    <w:p w:rsidR="00B33AAC" w:rsidRPr="0068697B" w:rsidRDefault="00B33AAC" w:rsidP="00B33AAC">
      <w:pPr>
        <w:ind w:left="-284" w:right="-284" w:firstLine="426"/>
      </w:pPr>
      <w:r w:rsidRPr="0068697B">
        <w:t>- контракт должен быть заключен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33AAC" w:rsidRPr="0068697B" w:rsidRDefault="00B33AAC" w:rsidP="00B33AAC">
      <w:pPr>
        <w:ind w:left="-284" w:right="-284" w:firstLine="426"/>
      </w:pPr>
      <w:r w:rsidRPr="0068697B">
        <w:t>- количество изготовленных протезов нижних конечностей по каждому контракту не может составлять менее 1/</w:t>
      </w:r>
      <w:r>
        <w:t>3</w:t>
      </w:r>
      <w:r w:rsidRPr="0068697B">
        <w:t xml:space="preserve"> количества протезов, изготавливаемых в рамках данной процедуры открытого конкурса. Количество изготовленных протезов определяется в соответствии с итоговыми актами, прилагаемыми к Форме № 8. Если государственным контрактом подписание итогового акта не предусмотрено, участник закупки должен приложить иной документ, позволяющий однозначно определить количество изготовленных протезов.</w:t>
      </w:r>
    </w:p>
    <w:p w:rsidR="00415A3C" w:rsidRDefault="00415A3C">
      <w:bookmarkStart w:id="0" w:name="_GoBack"/>
      <w:bookmarkEnd w:id="0"/>
    </w:p>
    <w:sectPr w:rsidR="0041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D1265F6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A4B5906"/>
    <w:multiLevelType w:val="multilevel"/>
    <w:tmpl w:val="0F20B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AC"/>
    <w:rsid w:val="00415A3C"/>
    <w:rsid w:val="00B3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A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B33AAC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B33AAC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B33A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3AA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AA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A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B33AAC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B33AAC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B33A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3AA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AA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Удалова О.А.</dc:creator>
  <cp:lastModifiedBy>Удалова О.А.</cp:lastModifiedBy>
  <cp:revision>1</cp:revision>
  <dcterms:created xsi:type="dcterms:W3CDTF">2018-08-31T13:32:00Z</dcterms:created>
  <dcterms:modified xsi:type="dcterms:W3CDTF">2018-08-31T13:32:00Z</dcterms:modified>
</cp:coreProperties>
</file>