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F6" w:rsidRPr="006F6A31" w:rsidRDefault="00014AF6" w:rsidP="00014AF6">
      <w:pPr>
        <w:widowControl w:val="0"/>
        <w:jc w:val="both"/>
        <w:rPr>
          <w:b/>
          <w:sz w:val="27"/>
          <w:szCs w:val="27"/>
        </w:rPr>
      </w:pPr>
      <w:r w:rsidRPr="006F6A31">
        <w:rPr>
          <w:b/>
          <w:sz w:val="27"/>
          <w:szCs w:val="27"/>
        </w:rPr>
        <w:t xml:space="preserve">Техническое задание на оказание услуг по обеспечению сервисной поддержки оборудования </w:t>
      </w:r>
      <w:r w:rsidRPr="006F6A31">
        <w:rPr>
          <w:b/>
          <w:sz w:val="27"/>
          <w:szCs w:val="27"/>
          <w:lang w:val="en-US"/>
        </w:rPr>
        <w:t>ORACLE</w:t>
      </w:r>
    </w:p>
    <w:p w:rsidR="00014AF6" w:rsidRPr="006F6A31" w:rsidRDefault="00014AF6" w:rsidP="00014AF6">
      <w:pPr>
        <w:widowControl w:val="0"/>
        <w:jc w:val="both"/>
        <w:rPr>
          <w:b/>
          <w:sz w:val="27"/>
          <w:szCs w:val="27"/>
        </w:rPr>
      </w:pPr>
    </w:p>
    <w:p w:rsidR="00014AF6" w:rsidRPr="00FA2D9E" w:rsidRDefault="00014AF6" w:rsidP="00014AF6">
      <w:pPr>
        <w:ind w:firstLine="708"/>
        <w:jc w:val="both"/>
        <w:rPr>
          <w:b/>
        </w:rPr>
      </w:pPr>
    </w:p>
    <w:p w:rsidR="00014AF6" w:rsidRPr="00C813FA" w:rsidRDefault="00014AF6" w:rsidP="00014AF6">
      <w:pPr>
        <w:ind w:firstLine="708"/>
        <w:jc w:val="both"/>
        <w:rPr>
          <w:sz w:val="27"/>
          <w:szCs w:val="27"/>
        </w:rPr>
      </w:pPr>
      <w:r w:rsidRPr="00C813FA">
        <w:rPr>
          <w:sz w:val="27"/>
          <w:szCs w:val="27"/>
        </w:rPr>
        <w:t xml:space="preserve">Поставка сервисных сертификатов на обеспечение сервисной поддержкой для оборудования </w:t>
      </w:r>
      <w:r w:rsidRPr="00C813FA">
        <w:rPr>
          <w:sz w:val="27"/>
          <w:szCs w:val="27"/>
          <w:lang w:val="en-US"/>
        </w:rPr>
        <w:t>Oracle</w:t>
      </w:r>
      <w:r w:rsidRPr="00C813FA">
        <w:rPr>
          <w:sz w:val="27"/>
          <w:szCs w:val="27"/>
        </w:rPr>
        <w:t xml:space="preserve">. 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w:t>
      </w:r>
      <w:r w:rsidRPr="00C813FA">
        <w:rPr>
          <w:sz w:val="27"/>
          <w:szCs w:val="27"/>
          <w:lang w:val="en-US"/>
        </w:rPr>
        <w:t>Oracle</w:t>
      </w:r>
      <w:r w:rsidRPr="00C813FA">
        <w:rPr>
          <w:sz w:val="27"/>
          <w:szCs w:val="27"/>
        </w:rPr>
        <w:t>, используемым Заказчиком.</w:t>
      </w:r>
    </w:p>
    <w:p w:rsidR="00014AF6" w:rsidRPr="001171E9" w:rsidRDefault="00014AF6" w:rsidP="00014AF6">
      <w:pPr>
        <w:jc w:val="both"/>
        <w:rPr>
          <w:b/>
          <w:sz w:val="27"/>
          <w:szCs w:val="27"/>
        </w:rPr>
      </w:pPr>
    </w:p>
    <w:p w:rsidR="00014AF6" w:rsidRDefault="00014AF6" w:rsidP="00014AF6">
      <w:r w:rsidRPr="00C813FA">
        <w:rPr>
          <w:sz w:val="27"/>
          <w:szCs w:val="27"/>
        </w:rPr>
        <w:t>Перечень оборудования приведен в Таблице</w:t>
      </w:r>
      <w:r w:rsidRPr="00FA2D9E">
        <w:t xml:space="preserve"> </w:t>
      </w:r>
    </w:p>
    <w:p w:rsidR="00014AF6" w:rsidRDefault="00014AF6" w:rsidP="00014AF6">
      <w:pPr>
        <w:jc w:val="right"/>
        <w:rPr>
          <w:b/>
        </w:rPr>
      </w:pPr>
      <w:r w:rsidRPr="00FA2D9E">
        <w:t xml:space="preserve">Таблица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017"/>
        <w:gridCol w:w="1559"/>
        <w:gridCol w:w="1843"/>
        <w:gridCol w:w="1559"/>
      </w:tblGrid>
      <w:tr w:rsidR="00014AF6" w:rsidRPr="00FA2D9E" w:rsidTr="000E4259">
        <w:trPr>
          <w:trHeight w:val="1441"/>
        </w:trPr>
        <w:tc>
          <w:tcPr>
            <w:tcW w:w="3053" w:type="dxa"/>
            <w:shd w:val="clear" w:color="auto" w:fill="auto"/>
            <w:noWrap/>
            <w:vAlign w:val="center"/>
            <w:hideMark/>
          </w:tcPr>
          <w:p w:rsidR="00014AF6" w:rsidRPr="00FA2D9E" w:rsidRDefault="00014AF6" w:rsidP="000E4259">
            <w:pPr>
              <w:jc w:val="center"/>
              <w:rPr>
                <w:b/>
                <w:bCs/>
              </w:rPr>
            </w:pPr>
            <w:r w:rsidRPr="00FA2D9E">
              <w:rPr>
                <w:b/>
                <w:bCs/>
              </w:rPr>
              <w:t>Наименование</w:t>
            </w:r>
          </w:p>
        </w:tc>
        <w:tc>
          <w:tcPr>
            <w:tcW w:w="2017" w:type="dxa"/>
            <w:shd w:val="clear" w:color="auto" w:fill="auto"/>
            <w:vAlign w:val="center"/>
            <w:hideMark/>
          </w:tcPr>
          <w:p w:rsidR="00014AF6" w:rsidRPr="00FA2D9E" w:rsidRDefault="00014AF6" w:rsidP="000E4259">
            <w:pPr>
              <w:jc w:val="center"/>
              <w:rPr>
                <w:i/>
                <w:iCs/>
              </w:rPr>
            </w:pPr>
            <w:r w:rsidRPr="00FA2D9E">
              <w:rPr>
                <w:b/>
              </w:rPr>
              <w:t>Метрика лицензирования / Серийный номер</w:t>
            </w:r>
          </w:p>
        </w:tc>
        <w:tc>
          <w:tcPr>
            <w:tcW w:w="1559" w:type="dxa"/>
            <w:shd w:val="clear" w:color="auto" w:fill="auto"/>
            <w:vAlign w:val="center"/>
            <w:hideMark/>
          </w:tcPr>
          <w:p w:rsidR="00014AF6" w:rsidRPr="00FA2D9E" w:rsidRDefault="00014AF6" w:rsidP="000E4259">
            <w:pPr>
              <w:jc w:val="center"/>
              <w:rPr>
                <w:i/>
                <w:iCs/>
              </w:rPr>
            </w:pPr>
            <w:r w:rsidRPr="00FA2D9E">
              <w:rPr>
                <w:b/>
              </w:rPr>
              <w:t>Количество (в соотв. с метрикой)</w:t>
            </w:r>
          </w:p>
        </w:tc>
        <w:tc>
          <w:tcPr>
            <w:tcW w:w="1843" w:type="dxa"/>
            <w:vAlign w:val="center"/>
          </w:tcPr>
          <w:p w:rsidR="00014AF6" w:rsidRPr="00FA2D9E" w:rsidRDefault="00014AF6" w:rsidP="000E4259">
            <w:pPr>
              <w:jc w:val="center"/>
              <w:rPr>
                <w:b/>
              </w:rPr>
            </w:pPr>
            <w:r w:rsidRPr="00FA2D9E">
              <w:rPr>
                <w:b/>
              </w:rPr>
              <w:t>Дата окончания текущей поддержки производителя</w:t>
            </w:r>
          </w:p>
        </w:tc>
        <w:tc>
          <w:tcPr>
            <w:tcW w:w="1559" w:type="dxa"/>
            <w:vAlign w:val="center"/>
          </w:tcPr>
          <w:p w:rsidR="00014AF6" w:rsidRPr="00FA2D9E" w:rsidRDefault="00014AF6" w:rsidP="000E4259">
            <w:pPr>
              <w:jc w:val="center"/>
              <w:rPr>
                <w:b/>
              </w:rPr>
            </w:pPr>
            <w:r w:rsidRPr="00FA2D9E">
              <w:rPr>
                <w:b/>
              </w:rPr>
              <w:t>Окончание поддержки -не ранее</w:t>
            </w:r>
          </w:p>
        </w:tc>
      </w:tr>
      <w:tr w:rsidR="00014AF6" w:rsidRPr="00FA2D9E" w:rsidTr="000E4259">
        <w:trPr>
          <w:trHeight w:val="255"/>
        </w:trPr>
        <w:tc>
          <w:tcPr>
            <w:tcW w:w="3053" w:type="dxa"/>
            <w:shd w:val="clear" w:color="auto" w:fill="auto"/>
            <w:noWrap/>
            <w:vAlign w:val="bottom"/>
            <w:hideMark/>
          </w:tcPr>
          <w:p w:rsidR="00014AF6" w:rsidRPr="00FA2D9E" w:rsidRDefault="00014AF6" w:rsidP="000E4259">
            <w:r w:rsidRPr="00FA2D9E">
              <w:t>Exadata Storage Server Software</w:t>
            </w:r>
          </w:p>
        </w:tc>
        <w:tc>
          <w:tcPr>
            <w:tcW w:w="2017" w:type="dxa"/>
            <w:shd w:val="clear" w:color="auto" w:fill="auto"/>
            <w:noWrap/>
            <w:vAlign w:val="bottom"/>
            <w:hideMark/>
          </w:tcPr>
          <w:p w:rsidR="00014AF6" w:rsidRPr="00FA2D9E" w:rsidRDefault="00014AF6" w:rsidP="000E4259">
            <w:pPr>
              <w:jc w:val="center"/>
            </w:pPr>
            <w:r w:rsidRPr="00FA2D9E">
              <w:t>Disk Drive</w:t>
            </w:r>
          </w:p>
        </w:tc>
        <w:tc>
          <w:tcPr>
            <w:tcW w:w="1559" w:type="dxa"/>
            <w:shd w:val="clear" w:color="auto" w:fill="auto"/>
            <w:noWrap/>
            <w:vAlign w:val="bottom"/>
            <w:hideMark/>
          </w:tcPr>
          <w:p w:rsidR="00014AF6" w:rsidRPr="00FA2D9E" w:rsidRDefault="00014AF6" w:rsidP="000E4259">
            <w:pPr>
              <w:jc w:val="center"/>
            </w:pPr>
            <w:r w:rsidRPr="00FA2D9E">
              <w:t>588</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noWrap/>
            <w:vAlign w:val="bottom"/>
            <w:hideMark/>
          </w:tcPr>
          <w:p w:rsidR="00014AF6" w:rsidRPr="00FA2D9E" w:rsidRDefault="00014AF6" w:rsidP="000E4259">
            <w:r w:rsidRPr="00FA2D9E">
              <w:t>Exadata Storage Server Software</w:t>
            </w:r>
          </w:p>
        </w:tc>
        <w:tc>
          <w:tcPr>
            <w:tcW w:w="2017" w:type="dxa"/>
            <w:shd w:val="clear" w:color="auto" w:fill="auto"/>
            <w:noWrap/>
            <w:vAlign w:val="bottom"/>
            <w:hideMark/>
          </w:tcPr>
          <w:p w:rsidR="00014AF6" w:rsidRPr="00FA2D9E" w:rsidRDefault="00014AF6" w:rsidP="000E4259">
            <w:pPr>
              <w:jc w:val="center"/>
            </w:pPr>
            <w:r w:rsidRPr="00FA2D9E">
              <w:t>Disk Drive</w:t>
            </w:r>
          </w:p>
        </w:tc>
        <w:tc>
          <w:tcPr>
            <w:tcW w:w="1559" w:type="dxa"/>
            <w:shd w:val="clear" w:color="auto" w:fill="auto"/>
            <w:noWrap/>
            <w:vAlign w:val="bottom"/>
            <w:hideMark/>
          </w:tcPr>
          <w:p w:rsidR="00014AF6" w:rsidRPr="00FA2D9E" w:rsidRDefault="00014AF6" w:rsidP="000E4259">
            <w:pPr>
              <w:jc w:val="center"/>
            </w:pPr>
            <w:r w:rsidRPr="00FA2D9E">
              <w:t>588</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510"/>
        </w:trPr>
        <w:tc>
          <w:tcPr>
            <w:tcW w:w="3053" w:type="dxa"/>
            <w:shd w:val="clear" w:color="auto" w:fill="auto"/>
            <w:vAlign w:val="center"/>
            <w:hideMark/>
          </w:tcPr>
          <w:p w:rsidR="00014AF6" w:rsidRPr="00FA2D9E" w:rsidRDefault="00014AF6" w:rsidP="000E4259">
            <w:pPr>
              <w:rPr>
                <w:lang w:val="en-US"/>
              </w:rPr>
            </w:pPr>
            <w:r w:rsidRPr="00FA2D9E">
              <w:rPr>
                <w:lang w:val="en-US"/>
              </w:rPr>
              <w:t>Exadata Database Machine X2-8 HP Full Rack</w:t>
            </w:r>
          </w:p>
        </w:tc>
        <w:tc>
          <w:tcPr>
            <w:tcW w:w="2017" w:type="dxa"/>
            <w:shd w:val="clear" w:color="auto" w:fill="auto"/>
            <w:vAlign w:val="center"/>
            <w:hideMark/>
          </w:tcPr>
          <w:p w:rsidR="00014AF6" w:rsidRPr="00FA2D9E" w:rsidRDefault="00014AF6" w:rsidP="000E4259">
            <w:pPr>
              <w:jc w:val="center"/>
            </w:pPr>
            <w:r w:rsidRPr="00FA2D9E">
              <w:t>AK00054320 / AK00054319</w:t>
            </w:r>
          </w:p>
        </w:tc>
        <w:tc>
          <w:tcPr>
            <w:tcW w:w="1559" w:type="dxa"/>
            <w:shd w:val="clear" w:color="auto" w:fill="auto"/>
            <w:noWrap/>
            <w:hideMark/>
          </w:tcPr>
          <w:p w:rsidR="00014AF6" w:rsidRPr="00FA2D9E" w:rsidRDefault="00014AF6" w:rsidP="000E4259">
            <w:pPr>
              <w:jc w:val="center"/>
            </w:pPr>
            <w:r w:rsidRPr="00FA2D9E">
              <w:t>2</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vAlign w:val="center"/>
            <w:hideMark/>
          </w:tcPr>
          <w:p w:rsidR="00014AF6" w:rsidRPr="00FA2D9E" w:rsidRDefault="00014AF6" w:rsidP="000E4259">
            <w:pPr>
              <w:rPr>
                <w:lang w:val="en-US"/>
              </w:rPr>
            </w:pPr>
            <w:r w:rsidRPr="00FA2D9E">
              <w:rPr>
                <w:lang w:val="en-US"/>
              </w:rPr>
              <w:t>Exadata Database Machine X2-2 HP Quarter Rack</w:t>
            </w:r>
          </w:p>
        </w:tc>
        <w:tc>
          <w:tcPr>
            <w:tcW w:w="2017" w:type="dxa"/>
            <w:shd w:val="clear" w:color="auto" w:fill="auto"/>
            <w:noWrap/>
            <w:vAlign w:val="center"/>
            <w:hideMark/>
          </w:tcPr>
          <w:p w:rsidR="00014AF6" w:rsidRPr="00FA2D9E" w:rsidRDefault="00014AF6" w:rsidP="000E4259">
            <w:pPr>
              <w:jc w:val="center"/>
            </w:pPr>
            <w:r w:rsidRPr="00FA2D9E">
              <w:t>AK00054317</w:t>
            </w:r>
          </w:p>
        </w:tc>
        <w:tc>
          <w:tcPr>
            <w:tcW w:w="1559" w:type="dxa"/>
            <w:shd w:val="clear" w:color="auto" w:fill="auto"/>
            <w:noWrap/>
            <w:hideMark/>
          </w:tcPr>
          <w:p w:rsidR="00014AF6" w:rsidRPr="00FA2D9E" w:rsidRDefault="00014AF6" w:rsidP="000E4259">
            <w:pPr>
              <w:jc w:val="center"/>
            </w:pPr>
            <w:r w:rsidRPr="00FA2D9E">
              <w:t>1</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vAlign w:val="center"/>
            <w:hideMark/>
          </w:tcPr>
          <w:p w:rsidR="00014AF6" w:rsidRPr="00FA2D9E" w:rsidRDefault="00014AF6" w:rsidP="000E4259">
            <w:pPr>
              <w:rPr>
                <w:lang w:val="en-US"/>
              </w:rPr>
            </w:pPr>
            <w:r w:rsidRPr="00FA2D9E">
              <w:rPr>
                <w:lang w:val="en-US"/>
              </w:rPr>
              <w:t>Exadata Storage Expansion HP Full Rack</w:t>
            </w:r>
          </w:p>
        </w:tc>
        <w:tc>
          <w:tcPr>
            <w:tcW w:w="2017" w:type="dxa"/>
            <w:shd w:val="clear" w:color="auto" w:fill="auto"/>
            <w:noWrap/>
            <w:vAlign w:val="center"/>
            <w:hideMark/>
          </w:tcPr>
          <w:p w:rsidR="00014AF6" w:rsidRPr="00FA2D9E" w:rsidRDefault="00014AF6" w:rsidP="000E4259">
            <w:pPr>
              <w:jc w:val="center"/>
            </w:pPr>
            <w:r w:rsidRPr="00FA2D9E">
              <w:t>AK00054318</w:t>
            </w:r>
          </w:p>
        </w:tc>
        <w:tc>
          <w:tcPr>
            <w:tcW w:w="1559" w:type="dxa"/>
            <w:shd w:val="clear" w:color="auto" w:fill="auto"/>
            <w:noWrap/>
            <w:hideMark/>
          </w:tcPr>
          <w:p w:rsidR="00014AF6" w:rsidRPr="00FA2D9E" w:rsidRDefault="00014AF6" w:rsidP="000E4259">
            <w:pPr>
              <w:jc w:val="center"/>
            </w:pPr>
            <w:r w:rsidRPr="00FA2D9E">
              <w:t>1</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vAlign w:val="center"/>
            <w:hideMark/>
          </w:tcPr>
          <w:p w:rsidR="00014AF6" w:rsidRPr="00FA2D9E" w:rsidRDefault="00014AF6" w:rsidP="000E4259">
            <w:r w:rsidRPr="00FA2D9E">
              <w:t>Oracle Database Appliance</w:t>
            </w:r>
          </w:p>
        </w:tc>
        <w:tc>
          <w:tcPr>
            <w:tcW w:w="2017" w:type="dxa"/>
            <w:shd w:val="clear" w:color="auto" w:fill="auto"/>
            <w:noWrap/>
            <w:vAlign w:val="center"/>
            <w:hideMark/>
          </w:tcPr>
          <w:p w:rsidR="00014AF6" w:rsidRPr="00FA2D9E" w:rsidRDefault="00014AF6" w:rsidP="000E4259">
            <w:pPr>
              <w:jc w:val="center"/>
            </w:pPr>
            <w:r w:rsidRPr="00FA2D9E">
              <w:t>1228FMW00C</w:t>
            </w:r>
          </w:p>
        </w:tc>
        <w:tc>
          <w:tcPr>
            <w:tcW w:w="1559" w:type="dxa"/>
            <w:shd w:val="clear" w:color="auto" w:fill="auto"/>
            <w:noWrap/>
            <w:hideMark/>
          </w:tcPr>
          <w:p w:rsidR="00014AF6" w:rsidRPr="00FA2D9E" w:rsidRDefault="00014AF6" w:rsidP="000E4259">
            <w:pPr>
              <w:jc w:val="center"/>
            </w:pPr>
            <w:r w:rsidRPr="00FA2D9E">
              <w:t>1</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510"/>
        </w:trPr>
        <w:tc>
          <w:tcPr>
            <w:tcW w:w="3053" w:type="dxa"/>
            <w:shd w:val="clear" w:color="auto" w:fill="auto"/>
            <w:vAlign w:val="center"/>
            <w:hideMark/>
          </w:tcPr>
          <w:p w:rsidR="00014AF6" w:rsidRPr="00FA2D9E" w:rsidRDefault="00014AF6" w:rsidP="000E4259">
            <w:pPr>
              <w:rPr>
                <w:lang w:val="en-US"/>
              </w:rPr>
            </w:pPr>
            <w:r w:rsidRPr="00FA2D9E">
              <w:rPr>
                <w:lang w:val="en-US"/>
              </w:rPr>
              <w:t>Exadata Database Machine X3-2 HP Full Rack</w:t>
            </w:r>
          </w:p>
        </w:tc>
        <w:tc>
          <w:tcPr>
            <w:tcW w:w="2017" w:type="dxa"/>
            <w:shd w:val="clear" w:color="auto" w:fill="auto"/>
            <w:vAlign w:val="center"/>
            <w:hideMark/>
          </w:tcPr>
          <w:p w:rsidR="00014AF6" w:rsidRPr="00FA2D9E" w:rsidRDefault="00014AF6" w:rsidP="000E4259">
            <w:pPr>
              <w:jc w:val="center"/>
            </w:pPr>
            <w:r w:rsidRPr="00FA2D9E">
              <w:t>AK00097376 / AK00097383</w:t>
            </w:r>
          </w:p>
        </w:tc>
        <w:tc>
          <w:tcPr>
            <w:tcW w:w="1559" w:type="dxa"/>
            <w:shd w:val="clear" w:color="auto" w:fill="auto"/>
            <w:noWrap/>
            <w:hideMark/>
          </w:tcPr>
          <w:p w:rsidR="00014AF6" w:rsidRPr="00FA2D9E" w:rsidRDefault="00014AF6" w:rsidP="000E4259">
            <w:pPr>
              <w:jc w:val="center"/>
            </w:pPr>
            <w:r w:rsidRPr="00FA2D9E">
              <w:t>2</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vAlign w:val="center"/>
            <w:hideMark/>
          </w:tcPr>
          <w:p w:rsidR="00014AF6" w:rsidRPr="00FA2D9E" w:rsidRDefault="00014AF6" w:rsidP="000E4259">
            <w:pPr>
              <w:rPr>
                <w:lang w:val="en-US"/>
              </w:rPr>
            </w:pPr>
            <w:r w:rsidRPr="00FA2D9E">
              <w:rPr>
                <w:lang w:val="en-US"/>
              </w:rPr>
              <w:t>Exadata Database Machine X3-2 HP Quarter Rack</w:t>
            </w:r>
          </w:p>
        </w:tc>
        <w:tc>
          <w:tcPr>
            <w:tcW w:w="2017" w:type="dxa"/>
            <w:shd w:val="clear" w:color="auto" w:fill="auto"/>
            <w:noWrap/>
            <w:vAlign w:val="center"/>
            <w:hideMark/>
          </w:tcPr>
          <w:p w:rsidR="00014AF6" w:rsidRPr="00FA2D9E" w:rsidRDefault="00014AF6" w:rsidP="000E4259">
            <w:pPr>
              <w:jc w:val="center"/>
            </w:pPr>
            <w:r w:rsidRPr="00FA2D9E">
              <w:t>AK00098023</w:t>
            </w:r>
          </w:p>
        </w:tc>
        <w:tc>
          <w:tcPr>
            <w:tcW w:w="1559" w:type="dxa"/>
            <w:shd w:val="clear" w:color="auto" w:fill="auto"/>
            <w:noWrap/>
            <w:hideMark/>
          </w:tcPr>
          <w:p w:rsidR="00014AF6" w:rsidRPr="00FA2D9E" w:rsidRDefault="00014AF6" w:rsidP="000E4259">
            <w:pPr>
              <w:jc w:val="center"/>
            </w:pPr>
            <w:r w:rsidRPr="00FA2D9E">
              <w:t>1</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r w:rsidR="00014AF6" w:rsidRPr="00FA2D9E" w:rsidTr="000E4259">
        <w:trPr>
          <w:trHeight w:val="255"/>
        </w:trPr>
        <w:tc>
          <w:tcPr>
            <w:tcW w:w="3053" w:type="dxa"/>
            <w:shd w:val="clear" w:color="auto" w:fill="auto"/>
            <w:vAlign w:val="center"/>
            <w:hideMark/>
          </w:tcPr>
          <w:p w:rsidR="00014AF6" w:rsidRPr="00FA2D9E" w:rsidRDefault="00014AF6" w:rsidP="000E4259">
            <w:pPr>
              <w:rPr>
                <w:lang w:val="en-US"/>
              </w:rPr>
            </w:pPr>
            <w:r w:rsidRPr="00FA2D9E">
              <w:rPr>
                <w:lang w:val="en-US"/>
              </w:rPr>
              <w:t>Exadata Storage Expansion X3-2 HP Full Rack</w:t>
            </w:r>
          </w:p>
        </w:tc>
        <w:tc>
          <w:tcPr>
            <w:tcW w:w="2017" w:type="dxa"/>
            <w:shd w:val="clear" w:color="auto" w:fill="auto"/>
            <w:noWrap/>
            <w:vAlign w:val="center"/>
            <w:hideMark/>
          </w:tcPr>
          <w:p w:rsidR="00014AF6" w:rsidRPr="00FA2D9E" w:rsidRDefault="00014AF6" w:rsidP="000E4259">
            <w:pPr>
              <w:jc w:val="center"/>
            </w:pPr>
            <w:r w:rsidRPr="00FA2D9E">
              <w:t>AK00097375</w:t>
            </w:r>
          </w:p>
        </w:tc>
        <w:tc>
          <w:tcPr>
            <w:tcW w:w="1559" w:type="dxa"/>
            <w:shd w:val="clear" w:color="auto" w:fill="auto"/>
            <w:noWrap/>
            <w:hideMark/>
          </w:tcPr>
          <w:p w:rsidR="00014AF6" w:rsidRPr="00FA2D9E" w:rsidRDefault="00014AF6" w:rsidP="000E4259">
            <w:pPr>
              <w:jc w:val="center"/>
            </w:pPr>
            <w:r w:rsidRPr="00FA2D9E">
              <w:t>1</w:t>
            </w:r>
          </w:p>
        </w:tc>
        <w:tc>
          <w:tcPr>
            <w:tcW w:w="1843" w:type="dxa"/>
          </w:tcPr>
          <w:p w:rsidR="00014AF6" w:rsidRPr="00FA2D9E" w:rsidRDefault="00014AF6" w:rsidP="000E4259">
            <w:pPr>
              <w:jc w:val="center"/>
            </w:pPr>
            <w:r w:rsidRPr="00FA2D9E">
              <w:t>31.12.2016</w:t>
            </w:r>
          </w:p>
        </w:tc>
        <w:tc>
          <w:tcPr>
            <w:tcW w:w="1559" w:type="dxa"/>
          </w:tcPr>
          <w:p w:rsidR="00014AF6" w:rsidRPr="00FA2D9E" w:rsidRDefault="00014AF6" w:rsidP="000E4259">
            <w:pPr>
              <w:jc w:val="center"/>
            </w:pPr>
            <w:r w:rsidRPr="00FA2D9E">
              <w:t>31.12.2017</w:t>
            </w:r>
          </w:p>
        </w:tc>
      </w:tr>
    </w:tbl>
    <w:p w:rsidR="00014AF6" w:rsidRDefault="00014AF6" w:rsidP="00014AF6">
      <w:pPr>
        <w:jc w:val="both"/>
        <w:rPr>
          <w:b/>
        </w:rPr>
      </w:pPr>
    </w:p>
    <w:p w:rsidR="00014AF6" w:rsidRDefault="00014AF6" w:rsidP="00014AF6">
      <w:pPr>
        <w:jc w:val="both"/>
        <w:rPr>
          <w:b/>
        </w:rPr>
      </w:pPr>
    </w:p>
    <w:p w:rsidR="00014AF6" w:rsidRPr="000E2B29" w:rsidRDefault="00014AF6" w:rsidP="00014AF6">
      <w:pPr>
        <w:widowControl w:val="0"/>
        <w:ind w:firstLine="709"/>
        <w:jc w:val="both"/>
        <w:rPr>
          <w:sz w:val="27"/>
          <w:szCs w:val="27"/>
        </w:rPr>
      </w:pPr>
      <w:r w:rsidRPr="000E2B29">
        <w:rPr>
          <w:sz w:val="27"/>
          <w:szCs w:val="27"/>
        </w:rPr>
        <w:t>Сервисная поддержка оборудования должна оказываться по месту установки оборудования</w:t>
      </w:r>
      <w:r w:rsidRPr="000E2B29">
        <w:rPr>
          <w:color w:val="000000"/>
          <w:sz w:val="27"/>
          <w:szCs w:val="27"/>
        </w:rPr>
        <w:t>.</w:t>
      </w:r>
    </w:p>
    <w:p w:rsidR="00014AF6" w:rsidRPr="000E2B29" w:rsidRDefault="00014AF6" w:rsidP="00014AF6">
      <w:pPr>
        <w:widowControl w:val="0"/>
        <w:ind w:firstLine="709"/>
        <w:jc w:val="both"/>
        <w:rPr>
          <w:sz w:val="27"/>
          <w:szCs w:val="27"/>
        </w:rPr>
      </w:pPr>
      <w:r w:rsidRPr="000E2B29">
        <w:rPr>
          <w:sz w:val="27"/>
          <w:szCs w:val="27"/>
        </w:rPr>
        <w:t xml:space="preserve">Сервисная поддержка производителя должна оказываться на следующих условиях: </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Доступ к обновлениям программ и патчей операционных систем и интегрированного программного обеспечения;</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Доступ к обновлениям критичных патчей для операционной системы;</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Доступ к основным технологическим релизам продуктов для операционных систем и интегрированного программного обеспечения, которая включает основные поддерживаемые релизы, выбранные функциональные релизы и обновления документации;</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lastRenderedPageBreak/>
        <w:t>Доступ к сайту технической поддержки My Oracle Support 24 часа в сутки, 7 дней в неделю;</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Доступ к определенным патчам безопасности Oracle Linux, которые могут быть применены, когда аппаратное обеспечение находится в работе и не требует перезагрузки системы;</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Доступ к веб-порталу службы технической поддержки – автоматизированной системе класса help-desk. С помощью help-desk у Заказчика должна быть возможность заведения технических запросов пользователя (SR) через электронную информационную систему технической поддержки. Для работы с help desk Заказчик регистрируется в системе и назначает администратора своей учетной записи. Администратор системы – это контактное лицо Заказчика, уполномоченное на размещение технических запросов от имени Заказчика на администрирование созданной учетной записи Заказчик. Доступ к help desk может быть оформлен для других представителей Заказчика при условии согласования этого доступа Администратором системы.</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Технические запросы должны оформляться представителем Заказчика через help desk с присвоением номера и статуса. Запрос на техническую поддержку считается открытым с момента подтверждения системой help desk факта регистрации и начала обработки запроса.</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Обработка технических запросов должна происходить в режиме реального времени.</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Система help desk должна отслеживать статусы исполнения технических запросов и должна быть возможность просматривать историю обращений;</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Должна быть обеспечена прямая телефонная линия для консультаций с техническими специалистами с понедельника по пятницу в режиме рабочего времени.</w:t>
      </w:r>
    </w:p>
    <w:p w:rsidR="00014AF6" w:rsidRPr="000E2B29" w:rsidRDefault="00014AF6" w:rsidP="00014AF6">
      <w:pPr>
        <w:widowControl w:val="0"/>
        <w:numPr>
          <w:ilvl w:val="0"/>
          <w:numId w:val="1"/>
        </w:numPr>
        <w:autoSpaceDE w:val="0"/>
        <w:autoSpaceDN w:val="0"/>
        <w:adjustRightInd w:val="0"/>
        <w:ind w:left="0" w:firstLine="709"/>
        <w:jc w:val="both"/>
        <w:rPr>
          <w:bCs/>
          <w:sz w:val="27"/>
          <w:szCs w:val="27"/>
        </w:rPr>
      </w:pPr>
      <w:r w:rsidRPr="000E2B29">
        <w:rPr>
          <w:bCs/>
          <w:sz w:val="27"/>
          <w:szCs w:val="27"/>
        </w:rPr>
        <w:t xml:space="preserve">Должна быть обеспечена возможность получением Заказчиком запасных частей на замену компонентов аппаратного обеспечения при условии, что данный компонент неработоспособный. Если запасные части отправляются Заказчику, то Заказчик должен вернуть замененные компоненты. Заказчик должен удалить все данные, которые были записаны на данный компонент. </w:t>
      </w:r>
    </w:p>
    <w:p w:rsidR="00014AF6" w:rsidRPr="001651EC" w:rsidRDefault="00014AF6" w:rsidP="00014AF6">
      <w:pPr>
        <w:jc w:val="both"/>
        <w:rPr>
          <w:bCs/>
          <w:sz w:val="27"/>
          <w:szCs w:val="27"/>
        </w:rPr>
      </w:pPr>
    </w:p>
    <w:p w:rsidR="00014AF6" w:rsidRPr="00EE4967" w:rsidRDefault="00014AF6" w:rsidP="00014AF6">
      <w:pPr>
        <w:ind w:firstLine="709"/>
        <w:jc w:val="both"/>
        <w:rPr>
          <w:bCs/>
          <w:sz w:val="27"/>
          <w:szCs w:val="27"/>
        </w:rPr>
      </w:pPr>
      <w:r w:rsidRPr="00EE4967">
        <w:rPr>
          <w:bCs/>
          <w:sz w:val="27"/>
          <w:szCs w:val="27"/>
        </w:rPr>
        <w:t xml:space="preserve">Срок действия сервисных сертификатов (сертификата) - с даты заключения Государственного контракта. </w:t>
      </w:r>
    </w:p>
    <w:p w:rsidR="00014AF6" w:rsidRPr="00EE4D0B" w:rsidRDefault="00014AF6" w:rsidP="00014AF6">
      <w:pPr>
        <w:ind w:firstLine="709"/>
        <w:jc w:val="both"/>
        <w:rPr>
          <w:bCs/>
          <w:sz w:val="27"/>
          <w:szCs w:val="27"/>
        </w:rPr>
      </w:pPr>
    </w:p>
    <w:p w:rsidR="00014AF6" w:rsidRPr="009E7A5E" w:rsidRDefault="00014AF6" w:rsidP="00014AF6">
      <w:pPr>
        <w:widowControl w:val="0"/>
        <w:spacing w:before="100" w:after="100"/>
        <w:ind w:firstLine="709"/>
        <w:jc w:val="both"/>
        <w:rPr>
          <w:sz w:val="27"/>
          <w:szCs w:val="27"/>
        </w:rPr>
      </w:pPr>
      <w:r w:rsidRPr="009E7A5E">
        <w:rPr>
          <w:sz w:val="27"/>
          <w:szCs w:val="27"/>
        </w:rPr>
        <w:t>Гарантийный срок на оказываемые услуги должен составлять не менее 1 года с даты подписания сторонами Акта о приемке оказанных услуг.</w:t>
      </w:r>
    </w:p>
    <w:p w:rsidR="00014AF6" w:rsidRDefault="00014AF6" w:rsidP="00014AF6">
      <w:pPr>
        <w:widowControl w:val="0"/>
        <w:spacing w:before="100" w:after="100"/>
        <w:ind w:firstLine="708"/>
        <w:jc w:val="both"/>
        <w:rPr>
          <w:sz w:val="27"/>
          <w:szCs w:val="27"/>
        </w:rPr>
      </w:pPr>
    </w:p>
    <w:p w:rsidR="00014AF6" w:rsidRDefault="00014AF6" w:rsidP="00014AF6">
      <w:pPr>
        <w:ind w:firstLine="708"/>
        <w:jc w:val="both"/>
        <w:rPr>
          <w:sz w:val="27"/>
          <w:szCs w:val="27"/>
        </w:rPr>
      </w:pPr>
      <w:r w:rsidRPr="009233C8">
        <w:rPr>
          <w:sz w:val="27"/>
          <w:szCs w:val="27"/>
        </w:rPr>
        <w:t>Место оказания услуг: г</w:t>
      </w:r>
      <w:r>
        <w:rPr>
          <w:sz w:val="27"/>
          <w:szCs w:val="27"/>
        </w:rPr>
        <w:t xml:space="preserve">. </w:t>
      </w:r>
      <w:r w:rsidRPr="009233C8">
        <w:rPr>
          <w:sz w:val="27"/>
          <w:szCs w:val="27"/>
        </w:rPr>
        <w:t>Москва, Орликов переулок, дом 3, корпус</w:t>
      </w:r>
      <w:r w:rsidRPr="00C62577">
        <w:rPr>
          <w:sz w:val="27"/>
          <w:szCs w:val="27"/>
        </w:rPr>
        <w:t xml:space="preserve"> А.</w:t>
      </w:r>
    </w:p>
    <w:p w:rsidR="00FD2F5D" w:rsidRDefault="00FD2F5D">
      <w:bookmarkStart w:id="0" w:name="_GoBack"/>
      <w:bookmarkEnd w:id="0"/>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2018-01-16T14:55:00Z</dcterms:created>
  <dcterms:modified xsi:type="dcterms:W3CDTF">2018-01-16T14:55:00Z</dcterms:modified>
</cp:coreProperties>
</file>