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5" w:rsidRDefault="00CC5AC5" w:rsidP="00CC5AC5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CC5AC5" w:rsidRDefault="00CC5AC5" w:rsidP="00CC5AC5">
      <w:pPr>
        <w:ind w:right="51"/>
        <w:rPr>
          <w:color w:val="000000"/>
          <w:sz w:val="18"/>
        </w:rPr>
      </w:pPr>
    </w:p>
    <w:p w:rsidR="00CC5AC5" w:rsidRDefault="00CC5AC5" w:rsidP="00CC5AC5">
      <w:pPr>
        <w:pStyle w:val="21"/>
        <w:snapToGrid w:val="0"/>
        <w:ind w:left="-540"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офтальмологии,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CC5AC5" w:rsidRDefault="00CC5AC5" w:rsidP="00CC5AC5">
      <w:pPr>
        <w:autoSpaceDE w:val="0"/>
        <w:autoSpaceDN w:val="0"/>
        <w:adjustRightInd w:val="0"/>
        <w:ind w:left="-540"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CC5AC5" w:rsidRDefault="00CC5AC5" w:rsidP="00CC5AC5">
      <w:pPr>
        <w:pStyle w:val="2"/>
        <w:keepNext/>
        <w:spacing w:after="0" w:line="240" w:lineRule="auto"/>
        <w:ind w:left="-540"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CC5AC5" w:rsidRDefault="00CC5AC5" w:rsidP="00CC5AC5">
      <w:pPr>
        <w:ind w:left="-540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CC5AC5" w:rsidRDefault="00CC5AC5" w:rsidP="00CC5AC5">
      <w:pPr>
        <w:ind w:left="-540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>
        <w:rPr>
          <w:sz w:val="18"/>
          <w:szCs w:val="20"/>
        </w:rPr>
        <w:t>Минздравсоцразвития</w:t>
      </w:r>
      <w:proofErr w:type="spellEnd"/>
      <w:r>
        <w:rPr>
          <w:sz w:val="18"/>
          <w:szCs w:val="20"/>
        </w:rPr>
        <w:t xml:space="preserve"> РФ от 22.11.2004 № 215.</w:t>
      </w:r>
    </w:p>
    <w:p w:rsidR="00CC5AC5" w:rsidRDefault="00CC5AC5" w:rsidP="00CC5AC5">
      <w:pPr>
        <w:ind w:left="-540" w:right="51"/>
      </w:pPr>
      <w:r>
        <w:rPr>
          <w:b/>
          <w:bCs/>
          <w:sz w:val="18"/>
          <w:szCs w:val="20"/>
        </w:rPr>
        <w:t xml:space="preserve">                                                           </w:t>
      </w:r>
      <w:r>
        <w:rPr>
          <w:sz w:val="18"/>
          <w:szCs w:val="20"/>
        </w:rPr>
        <w:t>Класс болезней VII: болезни глаза и его придаточного аппарата.</w:t>
      </w:r>
    </w:p>
    <w:p w:rsidR="00CC5AC5" w:rsidRDefault="00CC5AC5" w:rsidP="00CC5AC5">
      <w:pPr>
        <w:ind w:firstLine="540"/>
        <w:jc w:val="center"/>
      </w:pPr>
    </w:p>
    <w:p w:rsidR="00CC5AC5" w:rsidRDefault="00CC5AC5" w:rsidP="00CC5AC5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5263" w:type="pct"/>
        <w:tblInd w:w="-50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8"/>
        <w:gridCol w:w="1007"/>
        <w:gridCol w:w="926"/>
      </w:tblGrid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172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2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первичный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повторный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20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2" w:lineRule="exact"/>
              <w:ind w:right="86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Ультрафиолетовое облучение (местное) при болезнях органа зрения и его придаточных пазух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органов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Ультрафонофорез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препаратов при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Лазерная акупунктура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Фитовоздействие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Гелиовоздействие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54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Упражнения для восстановления и укрепления бинокулярного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Упражнения для тренировки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цилиарнои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мышцы глаза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C5AC5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spacing w:line="209" w:lineRule="exact"/>
              <w:ind w:right="20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C5" w:rsidRDefault="00CC5AC5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</w:tbl>
    <w:p w:rsidR="00CC5AC5" w:rsidRDefault="00CC5AC5" w:rsidP="00CC5AC5">
      <w:pPr>
        <w:shd w:val="clear" w:color="auto" w:fill="FFFFFF"/>
        <w:ind w:left="-54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CC5AC5" w:rsidRDefault="00CC5AC5" w:rsidP="00CC5AC5">
      <w:pPr>
        <w:autoSpaceDE w:val="0"/>
        <w:autoSpaceDN w:val="0"/>
        <w:adjustRightInd w:val="0"/>
        <w:ind w:left="-54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CC5AC5" w:rsidRDefault="00CC5AC5" w:rsidP="00CC5AC5">
      <w:pPr>
        <w:autoSpaceDE w:val="0"/>
        <w:autoSpaceDN w:val="0"/>
        <w:adjustRightInd w:val="0"/>
        <w:ind w:left="-540" w:right="-545"/>
        <w:jc w:val="both"/>
        <w:rPr>
          <w:sz w:val="18"/>
          <w:szCs w:val="22"/>
        </w:rPr>
      </w:pP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 по путевкам заезд не ранее 19.05.2018, выезд не позднее 17.12.2018,</w:t>
      </w:r>
    </w:p>
    <w:p w:rsidR="00CC5AC5" w:rsidRDefault="00CC5AC5" w:rsidP="00CC5AC5">
      <w:pPr>
        <w:pStyle w:val="a3"/>
        <w:ind w:right="-104"/>
        <w:rPr>
          <w:szCs w:val="22"/>
        </w:rPr>
      </w:pPr>
      <w:r>
        <w:rPr>
          <w:szCs w:val="22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>-территория,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оснащены специальными приспособлениями для ориентировки незрячих граждан:</w:t>
      </w:r>
      <w:proofErr w:type="gramEnd"/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</w:t>
      </w:r>
      <w:proofErr w:type="spellStart"/>
      <w:r>
        <w:rPr>
          <w:sz w:val="18"/>
          <w:szCs w:val="22"/>
        </w:rPr>
        <w:t>безбордюрное</w:t>
      </w:r>
      <w:proofErr w:type="spellEnd"/>
      <w:r>
        <w:rPr>
          <w:sz w:val="18"/>
          <w:szCs w:val="22"/>
        </w:rPr>
        <w:t xml:space="preserve"> сопряжение тротуаров и площадок с дорожным полотном и др.; 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оборудование помещений поручнями, ограждениями с применением строительных и отделочных материалов определенного качества (</w:t>
      </w:r>
      <w:proofErr w:type="gramStart"/>
      <w:r>
        <w:rPr>
          <w:sz w:val="18"/>
          <w:szCs w:val="22"/>
        </w:rPr>
        <w:t>гладкая</w:t>
      </w:r>
      <w:proofErr w:type="gramEnd"/>
      <w:r>
        <w:rPr>
          <w:sz w:val="18"/>
          <w:szCs w:val="22"/>
        </w:rPr>
        <w:t>, шероховатая, рифленая) и цвета;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устройство </w:t>
      </w:r>
      <w:proofErr w:type="spellStart"/>
      <w:r>
        <w:rPr>
          <w:sz w:val="18"/>
          <w:szCs w:val="22"/>
        </w:rPr>
        <w:t>пристенных</w:t>
      </w:r>
      <w:proofErr w:type="spellEnd"/>
      <w:r>
        <w:rPr>
          <w:sz w:val="18"/>
          <w:szCs w:val="22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>
        <w:rPr>
          <w:sz w:val="18"/>
          <w:szCs w:val="22"/>
        </w:rPr>
        <w:t>травмобезопасных</w:t>
      </w:r>
      <w:proofErr w:type="spellEnd"/>
      <w:r>
        <w:rPr>
          <w:sz w:val="18"/>
          <w:szCs w:val="22"/>
        </w:rPr>
        <w:t xml:space="preserve"> дверей и их элементов;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подробного макета учреждения для пространственной ориентации инвалидов по зрению;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библиотеки на территории санатория, располагающей специализированным книжным фондом для инвалидов по зрению: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«Говорящая книга» (диски, аудиокассеты, флэш-карты) - не менее одной единицы наименования на каждое койко-место;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книги с рельефно-точечным шрифтом по системе Брайля - не менее одной единицы наименования на каждое койко-место;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устройства для прослушивания книг, журналов (магнитофоны, плееры, специальные устройства для чтения «говорящих книг» на флэш-картах (</w:t>
      </w:r>
      <w:proofErr w:type="spellStart"/>
      <w:r>
        <w:rPr>
          <w:sz w:val="18"/>
          <w:szCs w:val="22"/>
        </w:rPr>
        <w:t>тифлофлэшплееры</w:t>
      </w:r>
      <w:proofErr w:type="spellEnd"/>
      <w:r>
        <w:rPr>
          <w:sz w:val="18"/>
          <w:szCs w:val="22"/>
        </w:rPr>
        <w:t>), специальные устройства для чтения «говорящих книг» воспроизводящие четырехдорожечные магнитолы) - не менее 20 устройств: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-лечебная база должна предусматривать: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службы (кабинета) психологической помощи;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возможность применения специальных методик лечения (в том числе </w:t>
      </w:r>
      <w:proofErr w:type="spellStart"/>
      <w:r>
        <w:rPr>
          <w:sz w:val="18"/>
          <w:szCs w:val="22"/>
        </w:rPr>
        <w:t>климатолечения</w:t>
      </w:r>
      <w:proofErr w:type="spellEnd"/>
      <w:r>
        <w:rPr>
          <w:sz w:val="18"/>
          <w:szCs w:val="22"/>
        </w:rPr>
        <w:t>) с учетом заболевания, послужившего причиной инвалидности по зрению;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специальные методы и приемы лечебной физкультуры с учетом последствий вынужденной гиподинамии и гипокинезии у незрячих граждан;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  продолжительность санаторно-курортного лечения (заезда) – 18 дней;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размещение граждан и сопровождающих их лиц должно осуществляться в </w:t>
      </w:r>
      <w:proofErr w:type="gramStart"/>
      <w:r>
        <w:rPr>
          <w:sz w:val="18"/>
          <w:szCs w:val="22"/>
        </w:rPr>
        <w:t>одно-двухместных</w:t>
      </w:r>
      <w:proofErr w:type="gramEnd"/>
      <w:r>
        <w:rPr>
          <w:sz w:val="18"/>
          <w:szCs w:val="22"/>
        </w:rPr>
        <w:t xml:space="preserve"> номерах, предусматривающих размещение в одном блоке с номером санитарного узла;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условия размещения распространяются и на граждан, прибывших к месту прохождения санаторно-курортного лечения в сопровождении собак-проводников;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размещение собак-проводников должно осуществляться совместно с хозяином собаки;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организация досуга;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CC5AC5" w:rsidRDefault="00CC5AC5" w:rsidP="00CC5AC5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rPr>
          <w:sz w:val="18"/>
          <w:szCs w:val="22"/>
        </w:rP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CC5AC5" w:rsidP="00CC5AC5">
      <w:r>
        <w:rPr>
          <w:sz w:val="18"/>
          <w:szCs w:val="22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5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5AC5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C5AC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C5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C5AC5"/>
    <w:pPr>
      <w:suppressAutoHyphens/>
      <w:jc w:val="both"/>
    </w:pPr>
    <w:rPr>
      <w:lang w:eastAsia="ar-SA"/>
    </w:rPr>
  </w:style>
  <w:style w:type="paragraph" w:styleId="a3">
    <w:name w:val="Block Text"/>
    <w:basedOn w:val="a"/>
    <w:semiHidden/>
    <w:rsid w:val="00CC5AC5"/>
    <w:pPr>
      <w:autoSpaceDE w:val="0"/>
      <w:autoSpaceDN w:val="0"/>
      <w:adjustRightInd w:val="0"/>
      <w:ind w:left="-540" w:right="-545"/>
      <w:jc w:val="both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C5AC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C5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C5AC5"/>
    <w:pPr>
      <w:suppressAutoHyphens/>
      <w:jc w:val="both"/>
    </w:pPr>
    <w:rPr>
      <w:lang w:eastAsia="ar-SA"/>
    </w:rPr>
  </w:style>
  <w:style w:type="paragraph" w:styleId="a3">
    <w:name w:val="Block Text"/>
    <w:basedOn w:val="a"/>
    <w:semiHidden/>
    <w:rsid w:val="00CC5AC5"/>
    <w:pPr>
      <w:autoSpaceDE w:val="0"/>
      <w:autoSpaceDN w:val="0"/>
      <w:adjustRightInd w:val="0"/>
      <w:ind w:left="-540" w:right="-545"/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2018-03-15T04:34:00Z</dcterms:created>
  <dcterms:modified xsi:type="dcterms:W3CDTF">2018-03-15T04:34:00Z</dcterms:modified>
</cp:coreProperties>
</file>