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20"/>
        <w:gridCol w:w="6946"/>
        <w:gridCol w:w="89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997A91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профилям заболеваний: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 нервной системы, органов дыхания</w:t>
            </w:r>
          </w:p>
          <w:p w:rsidR="00997A91" w:rsidRPr="0068557B" w:rsidRDefault="00997A91" w:rsidP="00997A9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997A91" w:rsidRPr="0068557B" w:rsidRDefault="00997A91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997A91" w:rsidRPr="0068557B" w:rsidRDefault="00997A91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997A91" w:rsidRPr="0068557B" w:rsidRDefault="00997A91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685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97A91" w:rsidRPr="0068557B" w:rsidRDefault="00997A91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997A91" w:rsidRDefault="00997A91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 xml:space="preserve">6. </w:t>
            </w:r>
            <w:r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997A91" w:rsidRDefault="00997A91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997A91" w:rsidRPr="0068557B" w:rsidRDefault="00997A91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7. Наличие врачей-специалистов по профилям заболеваний согласно заявленному лоту.</w:t>
            </w:r>
          </w:p>
          <w:p w:rsidR="00997A91" w:rsidRPr="0068557B" w:rsidRDefault="00997A91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997A91" w:rsidRPr="007D28D7" w:rsidRDefault="00997A91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85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581346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68557B">
              <w:rPr>
                <w:szCs w:val="24"/>
              </w:rPr>
              <w:lastRenderedPageBreak/>
              <w:t>Всего - 188 (Сто восемьдесят восемь) путевок.</w:t>
            </w:r>
          </w:p>
          <w:p w:rsidR="00997A91" w:rsidRPr="0068557B" w:rsidRDefault="00997A91" w:rsidP="00581346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97A91" w:rsidRPr="0068557B" w:rsidTr="00997A91">
        <w:trPr>
          <w:trHeight w:val="698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68557B">
              <w:rPr>
                <w:szCs w:val="24"/>
              </w:rPr>
              <w:t>Санаторно-курортные услуги должны быть оказаны согласно с</w:t>
            </w:r>
            <w:r w:rsidRPr="0068557B">
              <w:rPr>
                <w:color w:val="000000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68557B">
              <w:rPr>
                <w:color w:val="000000"/>
                <w:szCs w:val="24"/>
              </w:rPr>
              <w:t>Минздравсоцразвития</w:t>
            </w:r>
            <w:proofErr w:type="spellEnd"/>
            <w:r w:rsidRPr="0068557B">
              <w:rPr>
                <w:color w:val="000000"/>
                <w:szCs w:val="24"/>
              </w:rPr>
              <w:t xml:space="preserve"> Российской Федерации: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97A91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8A4B11" w:rsidRDefault="00997A91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B11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997A91" w:rsidRPr="008A4B11" w:rsidRDefault="00997A91" w:rsidP="008A4B11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97A91" w:rsidRPr="0068557B" w:rsidRDefault="00997A91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997A91" w:rsidRPr="008A4B11" w:rsidRDefault="00997A91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997A91" w:rsidRPr="0068557B" w:rsidRDefault="00997A91" w:rsidP="0068557B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997A91" w:rsidRPr="008A4B11" w:rsidRDefault="00997A91" w:rsidP="008A4B11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997A91" w:rsidRPr="0068557B" w:rsidRDefault="00997A91" w:rsidP="0068557B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997A91" w:rsidRPr="008A4B11" w:rsidRDefault="00997A91" w:rsidP="008A4B1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pStyle w:val="31"/>
              <w:spacing w:line="240" w:lineRule="atLeast"/>
              <w:ind w:left="-55" w:firstLine="55"/>
              <w:jc w:val="left"/>
              <w:rPr>
                <w:szCs w:val="24"/>
              </w:rPr>
            </w:pPr>
          </w:p>
        </w:tc>
      </w:tr>
    </w:tbl>
    <w:p w:rsidR="00962B04" w:rsidRPr="0068557B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62B04" w:rsidRPr="006855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3E2518"/>
    <w:rsid w:val="004D7188"/>
    <w:rsid w:val="005C456D"/>
    <w:rsid w:val="005F21E2"/>
    <w:rsid w:val="00640FB1"/>
    <w:rsid w:val="0068557B"/>
    <w:rsid w:val="006D3658"/>
    <w:rsid w:val="007A1104"/>
    <w:rsid w:val="007D28D7"/>
    <w:rsid w:val="008030C1"/>
    <w:rsid w:val="00810997"/>
    <w:rsid w:val="008A4B11"/>
    <w:rsid w:val="008D1807"/>
    <w:rsid w:val="0095014B"/>
    <w:rsid w:val="00962B04"/>
    <w:rsid w:val="00982BCB"/>
    <w:rsid w:val="00997A91"/>
    <w:rsid w:val="00A06731"/>
    <w:rsid w:val="00A1388E"/>
    <w:rsid w:val="00A171FD"/>
    <w:rsid w:val="00AD2CE4"/>
    <w:rsid w:val="00B24EB0"/>
    <w:rsid w:val="00CB0519"/>
    <w:rsid w:val="00F17D95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4</cp:revision>
  <cp:lastPrinted>2018-02-06T12:17:00Z</cp:lastPrinted>
  <dcterms:created xsi:type="dcterms:W3CDTF">2018-03-06T05:23:00Z</dcterms:created>
  <dcterms:modified xsi:type="dcterms:W3CDTF">2018-03-06T11:08:00Z</dcterms:modified>
</cp:coreProperties>
</file>