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r>
        <w:rPr>
          <w:rFonts w:cs="Times New Roman"/>
          <w:sz w:val="22"/>
          <w:szCs w:val="22"/>
        </w:rPr>
        <w:t>.</w:t>
      </w:r>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7"/>
        <w:gridCol w:w="1360"/>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F706CD">
            <w:pPr>
              <w:suppressAutoHyphens w:val="0"/>
              <w:jc w:val="center"/>
              <w:rPr>
                <w:rFonts w:cs="Times New Roman"/>
                <w:b/>
                <w:bCs/>
              </w:rPr>
            </w:pPr>
            <w:r>
              <w:rPr>
                <w:rFonts w:cs="Times New Roman"/>
                <w:b/>
                <w:bCs/>
                <w:sz w:val="22"/>
                <w:szCs w:val="22"/>
              </w:rPr>
              <w:t>1827</w:t>
            </w:r>
          </w:p>
        </w:tc>
      </w:tr>
      <w:tr w:rsidR="00C114DD" w:rsidTr="004704B1">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4704B1" w:rsidRPr="00DA76FA" w:rsidRDefault="004704B1" w:rsidP="004704B1">
            <w:pPr>
              <w:suppressAutoHyphens w:val="0"/>
              <w:snapToGrid w:val="0"/>
              <w:rPr>
                <w:rFonts w:eastAsia="Andale Sans UI" w:cs="Times New Roman"/>
                <w:iCs/>
                <w:sz w:val="22"/>
                <w:szCs w:val="22"/>
                <w:lang w:eastAsia="fa-IR" w:bidi="fa-IR"/>
              </w:rPr>
            </w:pPr>
            <w:r w:rsidRPr="00DA76FA">
              <w:rPr>
                <w:rFonts w:eastAsia="Andale Sans UI" w:cs="Times New Roman"/>
                <w:sz w:val="22"/>
                <w:szCs w:val="22"/>
                <w:lang w:eastAsia="fa-IR" w:bidi="fa-IR"/>
              </w:rPr>
              <w:t>Товар, используемый для оказания услуг:</w:t>
            </w:r>
          </w:p>
          <w:p w:rsidR="004704B1" w:rsidRPr="00DA76FA" w:rsidRDefault="004704B1" w:rsidP="004704B1">
            <w:pPr>
              <w:suppressAutoHyphens w:val="0"/>
              <w:snapToGrid w:val="0"/>
              <w:jc w:val="center"/>
              <w:rPr>
                <w:rFonts w:eastAsia="Calibri" w:cs="Times New Roman"/>
                <w:b/>
                <w:bCs/>
                <w:sz w:val="22"/>
                <w:szCs w:val="22"/>
              </w:rPr>
            </w:pPr>
            <w:r w:rsidRPr="00DA76FA">
              <w:rPr>
                <w:rFonts w:eastAsia="Calibri" w:cs="Times New Roman"/>
                <w:b/>
                <w:bCs/>
                <w:sz w:val="22"/>
                <w:szCs w:val="22"/>
              </w:rPr>
              <w:t>Вкладыш ушной индивидуального изготовления (для слухового аппарата)</w:t>
            </w:r>
          </w:p>
          <w:p w:rsidR="004704B1" w:rsidRPr="00DA76FA" w:rsidRDefault="004704B1" w:rsidP="004704B1">
            <w:pPr>
              <w:suppressAutoHyphens w:val="0"/>
              <w:snapToGrid w:val="0"/>
              <w:jc w:val="center"/>
              <w:rPr>
                <w:rFonts w:eastAsia="Andale Sans UI" w:cs="Times New Roman"/>
                <w:sz w:val="22"/>
                <w:szCs w:val="22"/>
                <w:lang w:eastAsia="fa-IR" w:bidi="fa-IR"/>
              </w:rPr>
            </w:pPr>
            <w:r w:rsidRPr="00DA76FA">
              <w:rPr>
                <w:rFonts w:eastAsia="Calibri" w:cs="Times New Roman"/>
                <w:bCs/>
                <w:sz w:val="22"/>
                <w:szCs w:val="22"/>
              </w:rPr>
              <w:t>(17-13)</w:t>
            </w:r>
            <w:r w:rsidRPr="00DA76FA">
              <w:rPr>
                <w:rFonts w:eastAsia="Andale Sans UI" w:cs="Times New Roman"/>
                <w:sz w:val="22"/>
                <w:szCs w:val="22"/>
                <w:lang w:eastAsia="fa-IR" w:bidi="fa-IR"/>
              </w:rPr>
              <w:t xml:space="preserve"> </w:t>
            </w:r>
          </w:p>
          <w:p w:rsidR="00C114DD" w:rsidRDefault="004704B1" w:rsidP="004704B1">
            <w:pPr>
              <w:suppressAutoHyphens w:val="0"/>
              <w:snapToGrid w:val="0"/>
              <w:jc w:val="center"/>
              <w:rPr>
                <w:rFonts w:cs="Times New Roman"/>
                <w:color w:val="auto"/>
                <w:lang w:eastAsia="fa-IR" w:bidi="fa-IR"/>
              </w:rPr>
            </w:pPr>
            <w:r w:rsidRPr="00DA76FA">
              <w:rPr>
                <w:rFonts w:eastAsia="Andale Sans UI" w:cs="Times New Roman"/>
                <w:sz w:val="22"/>
                <w:szCs w:val="22"/>
                <w:lang w:eastAsia="fa-IR" w:bidi="fa-IR"/>
              </w:rPr>
              <w:t xml:space="preserve">Изготовление  ушного </w:t>
            </w:r>
            <w:r w:rsidRPr="00DA76FA">
              <w:rPr>
                <w:rFonts w:eastAsia="Arial" w:cs="Times New Roman"/>
                <w:iCs/>
                <w:sz w:val="22"/>
                <w:szCs w:val="22"/>
                <w:lang w:eastAsia="ar-SA"/>
              </w:rPr>
              <w:t xml:space="preserve">вкладыша </w:t>
            </w:r>
            <w:r w:rsidRPr="00DA76FA">
              <w:rPr>
                <w:rFonts w:eastAsia="Arial" w:cs="Times New Roman"/>
                <w:b/>
                <w:bCs/>
                <w:iCs/>
                <w:sz w:val="22"/>
                <w:szCs w:val="22"/>
                <w:lang w:eastAsia="ar-SA"/>
              </w:rPr>
              <w:t xml:space="preserve"> </w:t>
            </w:r>
            <w:r w:rsidRPr="00DA76FA">
              <w:rPr>
                <w:rFonts w:eastAsia="Andale Sans UI" w:cs="Times New Roman"/>
                <w:sz w:val="22"/>
                <w:szCs w:val="22"/>
                <w:lang w:eastAsia="fa-IR" w:bidi="fa-IR"/>
              </w:rPr>
              <w:t>индивидуального изготовления (для слухового аппарата)</w:t>
            </w:r>
          </w:p>
        </w:tc>
        <w:tc>
          <w:tcPr>
            <w:tcW w:w="6847" w:type="dxa"/>
            <w:tcBorders>
              <w:top w:val="single" w:sz="4" w:space="0" w:color="auto"/>
              <w:left w:val="single" w:sz="4" w:space="0" w:color="auto"/>
              <w:bottom w:val="single" w:sz="4" w:space="0" w:color="auto"/>
              <w:right w:val="single" w:sz="4" w:space="0" w:color="auto"/>
            </w:tcBorders>
            <w:vAlign w:val="center"/>
          </w:tcPr>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По форме и размеру вкладыш ушной индивидуального изготовления должен полностью соответствовать анатомическим особенностям слухового прохода уха человека и способствовать улучшению разборчивости речи;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изготавливается  со слепка слухового прохода с учетом степени и характера потери слуха;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осуществляет проведение звука от заушного слухового аппарата в ухо;</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обеспечивает герметичность и надежную фиксацию в ухе;</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прочный</w:t>
            </w:r>
            <w:proofErr w:type="gramEnd"/>
            <w:r w:rsidRPr="00DA76FA">
              <w:rPr>
                <w:rFonts w:eastAsia="Andale Sans UI" w:cs="Times New Roman"/>
                <w:sz w:val="22"/>
                <w:szCs w:val="22"/>
                <w:lang w:eastAsia="fa-IR" w:bidi="fa-IR"/>
              </w:rPr>
              <w:t xml:space="preserve"> (не откалывается в случае изготовления из твердого материала и не растрескивается в случае изготовления из мягкого материала);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устойчив</w:t>
            </w:r>
            <w:proofErr w:type="gramEnd"/>
            <w:r w:rsidRPr="00DA76FA">
              <w:rPr>
                <w:rFonts w:eastAsia="Andale Sans UI" w:cs="Times New Roman"/>
                <w:sz w:val="22"/>
                <w:szCs w:val="22"/>
                <w:lang w:eastAsia="fa-IR" w:bidi="fa-IR"/>
              </w:rPr>
              <w:t xml:space="preserve"> к воздействию влаги и ушной серы; не оказывает раздражающего действия на кожные покровы слухового прохода;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комфортен</w:t>
            </w:r>
            <w:proofErr w:type="gramEnd"/>
            <w:r w:rsidRPr="00DA76FA">
              <w:rPr>
                <w:rFonts w:eastAsia="Andale Sans UI" w:cs="Times New Roman"/>
                <w:sz w:val="22"/>
                <w:szCs w:val="22"/>
                <w:lang w:eastAsia="fa-IR" w:bidi="fa-IR"/>
              </w:rPr>
              <w:t xml:space="preserve"> в эксплуатации;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не имеет акустической обратной связи (отсутствие свиста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Изготовление ушного вкладыша индивидуального изготовления должно проводиться по слепку наружного слухового прохода путем</w:t>
            </w:r>
            <w:proofErr w:type="gramStart"/>
            <w:r w:rsidRPr="00DA76FA">
              <w:rPr>
                <w:rFonts w:eastAsia="Andale Sans UI" w:cs="Times New Roman"/>
                <w:sz w:val="22"/>
                <w:szCs w:val="22"/>
                <w:lang w:eastAsia="fa-IR" w:bidi="fa-IR"/>
              </w:rPr>
              <w:t xml:space="preserve"> :</w:t>
            </w:r>
            <w:proofErr w:type="gramEnd"/>
            <w:r w:rsidRPr="00DA76FA">
              <w:rPr>
                <w:rFonts w:eastAsia="Andale Sans UI" w:cs="Times New Roman"/>
                <w:sz w:val="22"/>
                <w:szCs w:val="22"/>
                <w:lang w:eastAsia="fa-IR" w:bidi="fa-IR"/>
              </w:rPr>
              <w:t xml:space="preserve">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оценки состояния и формы расположения слухового прохода; введения в наружный слуховой проход </w:t>
            </w:r>
            <w:proofErr w:type="spellStart"/>
            <w:r w:rsidRPr="00DA76FA">
              <w:rPr>
                <w:rFonts w:eastAsia="Andale Sans UI" w:cs="Times New Roman"/>
                <w:sz w:val="22"/>
                <w:szCs w:val="22"/>
                <w:lang w:eastAsia="fa-IR" w:bidi="fa-IR"/>
              </w:rPr>
              <w:t>отоблока</w:t>
            </w:r>
            <w:proofErr w:type="spellEnd"/>
            <w:r w:rsidRPr="00DA76FA">
              <w:rPr>
                <w:rFonts w:eastAsia="Andale Sans UI" w:cs="Times New Roman"/>
                <w:sz w:val="22"/>
                <w:szCs w:val="22"/>
                <w:lang w:eastAsia="fa-IR" w:bidi="fa-IR"/>
              </w:rPr>
              <w:t xml:space="preserve"> для защиты барабанной перепонки;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введения слепочной массы;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осмотр наружного слухового прохода для исключения остатков слепочной массы и слепка;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оценки качества слепка наружного слухового прохода.</w:t>
            </w:r>
          </w:p>
          <w:p w:rsidR="00C114DD" w:rsidRDefault="004704B1" w:rsidP="004704B1">
            <w:pPr>
              <w:suppressAutoHyphens w:val="0"/>
              <w:autoSpaceDE w:val="0"/>
              <w:snapToGrid w:val="0"/>
              <w:jc w:val="both"/>
              <w:rPr>
                <w:rFonts w:cs="Times New Roman"/>
                <w:b/>
                <w:bCs/>
                <w:color w:val="auto"/>
                <w:kern w:val="2"/>
                <w:lang w:eastAsia="fa-IR" w:bidi="fa-IR"/>
              </w:rPr>
            </w:pPr>
            <w:r w:rsidRPr="00DA76FA">
              <w:rPr>
                <w:rFonts w:eastAsia="Andale Sans UI" w:cs="Times New Roman"/>
                <w:sz w:val="22"/>
                <w:szCs w:val="22"/>
                <w:lang w:eastAsia="fa-IR"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1360"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lastRenderedPageBreak/>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w:t>
      </w:r>
      <w:r>
        <w:rPr>
          <w:rFonts w:cs="Times New Roman"/>
          <w:sz w:val="22"/>
          <w:szCs w:val="22"/>
        </w:rPr>
        <w:lastRenderedPageBreak/>
        <w:t xml:space="preserve">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 xml:space="preserve">не более </w:t>
      </w:r>
      <w:r w:rsidR="004704B1">
        <w:rPr>
          <w:rFonts w:cs="Times New Roman"/>
          <w:sz w:val="22"/>
          <w:szCs w:val="22"/>
        </w:rPr>
        <w:t>15</w:t>
      </w:r>
      <w:r>
        <w:rPr>
          <w:rFonts w:cs="Times New Roman"/>
          <w:sz w:val="22"/>
          <w:szCs w:val="22"/>
        </w:rPr>
        <w:t xml:space="preserve"> (</w:t>
      </w:r>
      <w:r w:rsidR="004704B1">
        <w:rPr>
          <w:rFonts w:cs="Times New Roman"/>
          <w:sz w:val="22"/>
          <w:szCs w:val="22"/>
        </w:rPr>
        <w:t>пятнадцати</w:t>
      </w:r>
      <w:r>
        <w:rPr>
          <w:rFonts w:cs="Times New Roman"/>
          <w:sz w:val="22"/>
          <w:szCs w:val="22"/>
        </w:rPr>
        <w:t>)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uppressAutoHyphens w:val="0"/>
        <w:overflowPunct w:val="0"/>
        <w:autoSpaceDE w:val="0"/>
        <w:snapToGrid w:val="0"/>
        <w:ind w:firstLine="709"/>
        <w:jc w:val="both"/>
        <w:textAlignment w:val="baseline"/>
        <w:rPr>
          <w:rFonts w:cs="Times New Roman"/>
          <w:sz w:val="22"/>
          <w:szCs w:val="22"/>
        </w:rPr>
      </w:pPr>
      <w:r>
        <w:rPr>
          <w:rFonts w:cs="Times New Roman"/>
          <w:b/>
          <w:bCs/>
          <w:sz w:val="22"/>
          <w:szCs w:val="22"/>
        </w:rPr>
        <w:t xml:space="preserve">Начальная (максимальная) цена контракта: </w:t>
      </w:r>
      <w:r w:rsidR="001C6163">
        <w:rPr>
          <w:rFonts w:cs="Times New Roman"/>
          <w:noProof/>
          <w:sz w:val="22"/>
          <w:szCs w:val="22"/>
        </w:rPr>
        <w:t>1</w:t>
      </w:r>
      <w:r w:rsidR="00F706CD">
        <w:rPr>
          <w:rFonts w:cs="Times New Roman"/>
          <w:noProof/>
          <w:sz w:val="22"/>
          <w:szCs w:val="22"/>
        </w:rPr>
        <w:t xml:space="preserve"> 813 260</w:t>
      </w:r>
      <w:r>
        <w:rPr>
          <w:rFonts w:cs="Times New Roman"/>
          <w:noProof/>
          <w:sz w:val="22"/>
          <w:szCs w:val="22"/>
        </w:rPr>
        <w:t xml:space="preserve"> (один миллион </w:t>
      </w:r>
      <w:r w:rsidR="00F706CD">
        <w:rPr>
          <w:rFonts w:cs="Times New Roman"/>
          <w:noProof/>
          <w:sz w:val="22"/>
          <w:szCs w:val="22"/>
        </w:rPr>
        <w:t>восемьсот тринадцать тысяч двести шестьдесят</w:t>
      </w:r>
      <w:bookmarkStart w:id="0" w:name="_GoBack"/>
      <w:bookmarkEnd w:id="0"/>
      <w:r w:rsidR="001C6163">
        <w:rPr>
          <w:rFonts w:cs="Times New Roman"/>
          <w:noProof/>
          <w:sz w:val="22"/>
          <w:szCs w:val="22"/>
        </w:rPr>
        <w:t xml:space="preserve">) рублей </w:t>
      </w:r>
      <w:r w:rsidR="00F706CD">
        <w:rPr>
          <w:rFonts w:cs="Times New Roman"/>
          <w:noProof/>
          <w:sz w:val="22"/>
          <w:szCs w:val="22"/>
        </w:rPr>
        <w:t>96</w:t>
      </w:r>
      <w:r>
        <w:rPr>
          <w:rFonts w:cs="Times New Roman"/>
          <w:noProof/>
          <w:sz w:val="22"/>
          <w:szCs w:val="22"/>
        </w:rPr>
        <w:t xml:space="preserve"> копеек</w:t>
      </w:r>
      <w:r>
        <w:rPr>
          <w:rFonts w:cs="Times New Roman"/>
          <w:sz w:val="22"/>
          <w:szCs w:val="22"/>
        </w:rPr>
        <w:t>.</w:t>
      </w:r>
    </w:p>
    <w:p w:rsidR="00C114DD" w:rsidRDefault="00C114DD">
      <w:pPr>
        <w:suppressAutoHyphens w:val="0"/>
        <w:overflowPunct w:val="0"/>
        <w:autoSpaceDE w:val="0"/>
        <w:snapToGrid w:val="0"/>
        <w:ind w:firstLine="709"/>
        <w:jc w:val="both"/>
        <w:textAlignment w:val="baseline"/>
        <w:rPr>
          <w:rFonts w:cs="Times New Roman"/>
          <w:b/>
          <w:bCs/>
          <w:sz w:val="22"/>
          <w:szCs w:val="22"/>
        </w:rPr>
      </w:pPr>
      <w:r>
        <w:rPr>
          <w:rFonts w:cs="Times New Roman"/>
          <w:sz w:val="22"/>
          <w:szCs w:val="22"/>
        </w:rPr>
        <w:t xml:space="preserve">В цену контракта включаются все расходы, связанные с оказанием услуг, в </w:t>
      </w:r>
      <w:proofErr w:type="spellStart"/>
      <w:r>
        <w:rPr>
          <w:rFonts w:cs="Times New Roman"/>
          <w:sz w:val="22"/>
          <w:szCs w:val="22"/>
        </w:rPr>
        <w:t>т.ч</w:t>
      </w:r>
      <w:proofErr w:type="spellEnd"/>
      <w:r>
        <w:rPr>
          <w:rFonts w:cs="Times New Roman"/>
          <w:sz w:val="22"/>
          <w:szCs w:val="22"/>
        </w:rPr>
        <w:t xml:space="preserve">. </w:t>
      </w:r>
      <w:r>
        <w:rPr>
          <w:rFonts w:cs="Times New Roman"/>
          <w:sz w:val="22"/>
          <w:szCs w:val="22"/>
          <w:lang w:eastAsia="ar-SA"/>
        </w:rPr>
        <w:t xml:space="preserve">прием </w:t>
      </w:r>
      <w:r>
        <w:rPr>
          <w:rFonts w:cs="Times New Roman"/>
          <w:color w:val="auto"/>
          <w:sz w:val="22"/>
          <w:szCs w:val="22"/>
          <w:lang w:eastAsia="fa-IR" w:bidi="fa-IR"/>
        </w:rPr>
        <w:t xml:space="preserve">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sz w:val="22"/>
          <w:szCs w:val="22"/>
        </w:rPr>
        <w:t xml:space="preserve">, настройка и выдача слухового аппарата </w:t>
      </w:r>
      <w:r>
        <w:rPr>
          <w:rFonts w:cs="Times New Roman"/>
          <w:sz w:val="22"/>
          <w:szCs w:val="22"/>
          <w:lang w:eastAsia="ar-SA"/>
        </w:rPr>
        <w:t>Получателям</w:t>
      </w:r>
      <w:r>
        <w:rPr>
          <w:rFonts w:cs="Times New Roman"/>
          <w:sz w:val="22"/>
          <w:szCs w:val="22"/>
        </w:rPr>
        <w:t xml:space="preserve">, отоскопия уха, </w:t>
      </w:r>
      <w:r>
        <w:rPr>
          <w:rFonts w:cs="Times New Roman"/>
          <w:sz w:val="22"/>
          <w:szCs w:val="22"/>
          <w:lang w:eastAsia="ar-SA"/>
        </w:rPr>
        <w:t xml:space="preserve">обучение правилам </w:t>
      </w:r>
      <w:proofErr w:type="gramStart"/>
      <w:r>
        <w:rPr>
          <w:rFonts w:cs="Times New Roman"/>
          <w:sz w:val="22"/>
          <w:szCs w:val="22"/>
          <w:lang w:eastAsia="ar-SA"/>
        </w:rPr>
        <w:t>пользования</w:t>
      </w:r>
      <w:proofErr w:type="gramEnd"/>
      <w:r>
        <w:rPr>
          <w:rFonts w:cs="Times New Roman"/>
          <w:sz w:val="22"/>
          <w:szCs w:val="22"/>
          <w:lang w:eastAsia="ar-SA"/>
        </w:rPr>
        <w:t xml:space="preserve"> выданным товаром,</w:t>
      </w:r>
      <w:r>
        <w:rPr>
          <w:rFonts w:cs="Times New Roman"/>
          <w:sz w:val="22"/>
          <w:szCs w:val="22"/>
        </w:rPr>
        <w:t xml:space="preserve"> используемого для оказания услуг,</w:t>
      </w:r>
      <w:r>
        <w:rPr>
          <w:rFonts w:cs="Times New Roman"/>
          <w:sz w:val="22"/>
          <w:szCs w:val="22"/>
          <w:lang w:eastAsia="ar-SA"/>
        </w:rPr>
        <w:t xml:space="preserve"> выдача товара</w:t>
      </w:r>
      <w:r>
        <w:rPr>
          <w:rFonts w:cs="Times New Roman"/>
          <w:sz w:val="22"/>
          <w:szCs w:val="22"/>
        </w:rPr>
        <w:t>, используемого для оказания услуг,</w:t>
      </w:r>
      <w:r>
        <w:rPr>
          <w:rFonts w:cs="Times New Roman"/>
          <w:sz w:val="22"/>
          <w:szCs w:val="22"/>
          <w:lang w:eastAsia="ar-SA"/>
        </w:rPr>
        <w:t xml:space="preserve"> Получателю, стоимость товара</w:t>
      </w:r>
      <w:r>
        <w:rPr>
          <w:rFonts w:cs="Times New Roman"/>
          <w:sz w:val="22"/>
          <w:szCs w:val="22"/>
        </w:rPr>
        <w:t>, используемого для оказания услуг,</w:t>
      </w:r>
      <w:r>
        <w:rPr>
          <w:rFonts w:cs="Times New Roman"/>
          <w:sz w:val="22"/>
          <w:szCs w:val="22"/>
          <w:lang w:eastAsia="ar-SA"/>
        </w:rPr>
        <w:t xml:space="preserve"> и материалов, используемых для оказания услуг, налоги, сборы и другие обязательные платежи, в соответствии с действующим законодательством Российской Федерации, затраты на доставку, разгрузку товара</w:t>
      </w:r>
      <w:r>
        <w:rPr>
          <w:rFonts w:cs="Times New Roman"/>
          <w:sz w:val="22"/>
          <w:szCs w:val="22"/>
        </w:rPr>
        <w:t>, используемого для оказания услуг,</w:t>
      </w:r>
      <w:r>
        <w:rPr>
          <w:rFonts w:cs="Times New Roman"/>
          <w:sz w:val="22"/>
          <w:szCs w:val="22"/>
          <w:lang w:eastAsia="ar-SA"/>
        </w:rPr>
        <w:t xml:space="preserve"> до специализированного кабинета, издержки и иные расходы Исполнителя, связанные с исполнением контракта.</w:t>
      </w:r>
      <w:r>
        <w:rPr>
          <w:rFonts w:cs="Times New Roman"/>
          <w:sz w:val="22"/>
          <w:szCs w:val="22"/>
        </w:rPr>
        <w:t xml:space="preserve"> Неучтенные затраты Исполнителя по государственному контракту, связанные с исполнением контракта, но не включенные в предлагаемую цену контракта, не подлежат оплате Заказчиком.</w:t>
      </w:r>
    </w:p>
    <w:p w:rsidR="00C114DD" w:rsidRDefault="00C114DD">
      <w:pPr>
        <w:suppressAutoHyphens w:val="0"/>
        <w:overflowPunct w:val="0"/>
        <w:autoSpaceDE w:val="0"/>
        <w:snapToGrid w:val="0"/>
        <w:ind w:right="-142" w:firstLine="567"/>
        <w:textAlignment w:val="baseline"/>
        <w:rPr>
          <w:rFonts w:cs="Times New Roman"/>
          <w:b/>
          <w:bCs/>
          <w:sz w:val="22"/>
          <w:szCs w:val="22"/>
        </w:rPr>
      </w:pPr>
    </w:p>
    <w:p w:rsidR="00C114DD" w:rsidRDefault="00C114DD">
      <w:pPr>
        <w:suppressAutoHyphens w:val="0"/>
        <w:overflowPunct w:val="0"/>
        <w:autoSpaceDE w:val="0"/>
        <w:snapToGrid w:val="0"/>
        <w:ind w:right="-142" w:firstLine="567"/>
        <w:textAlignment w:val="baseline"/>
        <w:rPr>
          <w:rFonts w:cs="Times New Roman"/>
          <w:b/>
          <w:bCs/>
          <w:sz w:val="22"/>
          <w:szCs w:val="22"/>
        </w:rPr>
      </w:pPr>
      <w:r>
        <w:rPr>
          <w:rFonts w:cs="Times New Roman"/>
          <w:b/>
          <w:bCs/>
          <w:sz w:val="22"/>
          <w:szCs w:val="22"/>
        </w:rPr>
        <w:t>Форма, сроки и порядок оплаты оказанных услуг:</w:t>
      </w:r>
    </w:p>
    <w:p w:rsidR="00C114DD" w:rsidRDefault="00C114DD">
      <w:pPr>
        <w:keepNext/>
        <w:overflowPunct w:val="0"/>
        <w:autoSpaceDE w:val="0"/>
        <w:snapToGrid w:val="0"/>
        <w:spacing w:line="100" w:lineRule="atLeast"/>
        <w:ind w:left="-30" w:right="-1" w:firstLine="739"/>
        <w:jc w:val="both"/>
        <w:textAlignment w:val="baseline"/>
        <w:rPr>
          <w:rFonts w:cs="Times New Roman"/>
          <w:sz w:val="22"/>
          <w:szCs w:val="22"/>
        </w:rPr>
      </w:pPr>
      <w:proofErr w:type="gramStart"/>
      <w:r>
        <w:rPr>
          <w:rFonts w:cs="Times New Roman"/>
          <w:sz w:val="22"/>
          <w:szCs w:val="22"/>
        </w:rPr>
        <w:t>Оплата по контракту осуществляется Заказчиком ежемесячно в безналичной форме путем перечисления денежных средств  не более чем в течение 15 (пятнадцати) рабочих дней с даты получения Заказчиком надлежащим образом оформленных отчетных документов: счета, счета – фактуры*, Реестра оказанных услуг по Контракту, Актов сдачи-приемки оказанных услуг, отрывных талонов к направлениям, копии документов, подтверждающих полномочия представителя Получателя (при необходимости) и подписания Заказчиком Акта оказанных</w:t>
      </w:r>
      <w:proofErr w:type="gramEnd"/>
      <w:r>
        <w:rPr>
          <w:rFonts w:cs="Times New Roman"/>
          <w:sz w:val="22"/>
          <w:szCs w:val="22"/>
        </w:rPr>
        <w:t xml:space="preserve"> услуг в пользу граждан в целях их социального обеспечения.</w:t>
      </w:r>
    </w:p>
    <w:p w:rsidR="00C114DD" w:rsidRDefault="00C114DD">
      <w:pPr>
        <w:suppressAutoHyphens w:val="0"/>
        <w:snapToGrid w:val="0"/>
        <w:ind w:right="-142" w:firstLine="567"/>
        <w:jc w:val="both"/>
        <w:rPr>
          <w:rFonts w:cs="Times New Roman"/>
          <w:i/>
          <w:iCs/>
          <w:color w:val="auto"/>
          <w:sz w:val="22"/>
          <w:szCs w:val="22"/>
          <w:lang w:eastAsia="ru-RU"/>
        </w:rPr>
      </w:pPr>
      <w:r>
        <w:rPr>
          <w:rFonts w:cs="Times New Roman"/>
          <w:i/>
          <w:iCs/>
          <w:sz w:val="22"/>
          <w:szCs w:val="22"/>
        </w:rPr>
        <w:t>*для плательщиков НДС</w:t>
      </w:r>
    </w:p>
    <w:p w:rsidR="00C114DD" w:rsidRDefault="00C114DD">
      <w:pPr>
        <w:suppressAutoHyphens w:val="0"/>
        <w:overflowPunct w:val="0"/>
        <w:autoSpaceDE w:val="0"/>
        <w:snapToGrid w:val="0"/>
        <w:ind w:right="-142"/>
        <w:jc w:val="both"/>
        <w:textAlignment w:val="baseline"/>
        <w:rPr>
          <w:rFonts w:cs="Times New Roman"/>
          <w:i/>
          <w:iCs/>
          <w:kern w:val="2"/>
          <w:sz w:val="22"/>
          <w:szCs w:val="22"/>
        </w:rPr>
      </w:pPr>
    </w:p>
    <w:p w:rsidR="00C114DD" w:rsidRDefault="00C114DD">
      <w:pPr>
        <w:suppressAutoHyphens w:val="0"/>
        <w:overflowPunct w:val="0"/>
        <w:autoSpaceDE w:val="0"/>
        <w:snapToGrid w:val="0"/>
        <w:ind w:right="-142" w:firstLine="567"/>
        <w:jc w:val="both"/>
        <w:textAlignment w:val="baseline"/>
        <w:rPr>
          <w:rFonts w:cs="Times New Roman"/>
          <w:kern w:val="1"/>
          <w:sz w:val="22"/>
          <w:szCs w:val="22"/>
          <w:lang w:eastAsia="ar-SA"/>
        </w:rPr>
      </w:pPr>
      <w:r>
        <w:rPr>
          <w:rFonts w:cs="Times New Roman"/>
          <w:b/>
          <w:bCs/>
          <w:sz w:val="22"/>
          <w:szCs w:val="22"/>
        </w:rPr>
        <w:lastRenderedPageBreak/>
        <w:t>Источник финансирования:</w:t>
      </w:r>
      <w:r>
        <w:rPr>
          <w:rFonts w:cs="Times New Roman"/>
          <w:spacing w:val="-1"/>
          <w:sz w:val="22"/>
          <w:szCs w:val="22"/>
        </w:rPr>
        <w:t xml:space="preserve"> </w:t>
      </w:r>
      <w:r>
        <w:rPr>
          <w:rFonts w:cs="Times New Roman"/>
          <w:spacing w:val="-1"/>
          <w:kern w:val="1"/>
          <w:sz w:val="22"/>
          <w:szCs w:val="22"/>
        </w:rPr>
        <w:t>средства Федерального бюджета Российской Федерации, в пределах лимитов бюджетных обязательств, при наличии денежных средств, полученных по межбюджетным трансфертам на данный вид расходов и соответствующую целевую статью</w:t>
      </w:r>
      <w:r>
        <w:rPr>
          <w:rFonts w:cs="Times New Roman"/>
          <w:spacing w:val="-1"/>
          <w:sz w:val="22"/>
          <w:szCs w:val="22"/>
        </w:rPr>
        <w:t>.</w:t>
      </w:r>
    </w:p>
    <w:p w:rsidR="00C114DD" w:rsidRDefault="00C114DD">
      <w:pPr>
        <w:suppressAutoHyphens w:val="0"/>
        <w:overflowPunct w:val="0"/>
        <w:autoSpaceDE w:val="0"/>
        <w:snapToGrid w:val="0"/>
        <w:ind w:right="-142" w:firstLine="567"/>
        <w:jc w:val="both"/>
        <w:rPr>
          <w:rFonts w:cs="Times New Roman"/>
          <w:b/>
          <w:bCs/>
          <w:sz w:val="22"/>
          <w:szCs w:val="22"/>
        </w:rPr>
      </w:pPr>
    </w:p>
    <w:p w:rsidR="00C114DD" w:rsidRDefault="00C114DD">
      <w:pPr>
        <w:shd w:val="clear" w:color="auto" w:fill="FFFFFF"/>
        <w:tabs>
          <w:tab w:val="left" w:pos="570"/>
        </w:tabs>
        <w:suppressAutoHyphens w:val="0"/>
        <w:snapToGrid w:val="0"/>
        <w:ind w:right="-142"/>
        <w:jc w:val="both"/>
        <w:rPr>
          <w:rFonts w:ascii="Tahoma" w:hAnsi="Tahoma" w:cs="Tahoma"/>
          <w:sz w:val="22"/>
          <w:szCs w:val="22"/>
        </w:rPr>
      </w:pPr>
      <w:r>
        <w:rPr>
          <w:rFonts w:cs="Times New Roman"/>
          <w:b/>
          <w:bCs/>
          <w:color w:val="auto"/>
          <w:sz w:val="22"/>
          <w:szCs w:val="22"/>
          <w:lang w:eastAsia="ar-SA"/>
        </w:rPr>
        <w:t>Обоснование и расчет начальной (максимальной) цены контракта.</w:t>
      </w:r>
      <w:r>
        <w:rPr>
          <w:rFonts w:cs="Times New Roman"/>
          <w:color w:val="auto"/>
          <w:sz w:val="22"/>
          <w:szCs w:val="22"/>
          <w:lang w:eastAsia="ar-SA"/>
        </w:rPr>
        <w:t xml:space="preserve"> </w:t>
      </w:r>
      <w:r>
        <w:rPr>
          <w:rFonts w:cs="Times New Roman"/>
          <w:sz w:val="22"/>
          <w:szCs w:val="22"/>
        </w:rPr>
        <w:t xml:space="preserve">Для расчета </w:t>
      </w:r>
      <w:r>
        <w:rPr>
          <w:rFonts w:eastAsia="TimesNewRomanPSMT" w:cs="Times New Roman"/>
          <w:spacing w:val="-4"/>
          <w:sz w:val="22"/>
          <w:szCs w:val="22"/>
          <w:lang w:eastAsia="ar-SA"/>
        </w:rPr>
        <w:t xml:space="preserve">начальной (максимальной) цены контракта использован </w:t>
      </w:r>
      <w:r>
        <w:rPr>
          <w:rFonts w:cs="Times New Roman"/>
          <w:spacing w:val="-4"/>
          <w:sz w:val="22"/>
          <w:szCs w:val="22"/>
          <w:lang w:eastAsia="ar-SA"/>
        </w:rPr>
        <w:t xml:space="preserve">метод сопоставимых рыночных цен (анализа рынка), приоритетный на основании закона. </w:t>
      </w:r>
      <w:r>
        <w:rPr>
          <w:rFonts w:eastAsia="TimesNewRomanPSMT" w:cs="Times New Roman"/>
          <w:spacing w:val="-4"/>
          <w:sz w:val="22"/>
          <w:szCs w:val="22"/>
          <w:lang w:eastAsia="ar-SA"/>
        </w:rPr>
        <w:t>Источником информации о ценах послужили данные ранее заключенных государственных контрактом, исполненных без штрафных санкций.</w:t>
      </w:r>
    </w:p>
    <w:p w:rsidR="00C114DD" w:rsidRDefault="00C114DD">
      <w:pPr>
        <w:shd w:val="clear" w:color="auto" w:fill="FFFFFF"/>
        <w:tabs>
          <w:tab w:val="left" w:pos="-3170"/>
        </w:tabs>
        <w:suppressAutoHyphens w:val="0"/>
        <w:ind w:right="-142" w:firstLine="567"/>
        <w:jc w:val="both"/>
        <w:rPr>
          <w:rFonts w:cs="Times New Roman"/>
          <w:color w:val="auto"/>
          <w:spacing w:val="-4"/>
          <w:sz w:val="22"/>
          <w:szCs w:val="22"/>
          <w:lang w:eastAsia="ar-SA"/>
        </w:rPr>
      </w:pPr>
    </w:p>
    <w:p w:rsidR="00C114DD" w:rsidRDefault="00C114DD">
      <w:pPr>
        <w:shd w:val="clear" w:color="auto" w:fill="FFFFFF"/>
        <w:suppressAutoHyphens w:val="0"/>
        <w:ind w:right="-142" w:firstLine="567"/>
        <w:textAlignment w:val="baseline"/>
        <w:rPr>
          <w:rFonts w:cs="Times New Roman"/>
          <w:sz w:val="22"/>
          <w:szCs w:val="22"/>
          <w:lang w:eastAsia="ru-RU"/>
        </w:rPr>
      </w:pPr>
      <w:r>
        <w:rPr>
          <w:rFonts w:cs="Times New Roman"/>
          <w:sz w:val="22"/>
          <w:szCs w:val="22"/>
          <w:lang w:eastAsia="ru-RU"/>
        </w:rPr>
        <w:t>НМЦК методом сопоставимых рыночных цен (анализа рынка) определяется по формуле:</w:t>
      </w:r>
    </w:p>
    <w:p w:rsidR="00C114DD" w:rsidRDefault="003665DC">
      <w:pPr>
        <w:shd w:val="clear" w:color="auto" w:fill="FFFFFF"/>
        <w:suppressAutoHyphens w:val="0"/>
        <w:ind w:right="-142" w:firstLine="567"/>
        <w:jc w:val="center"/>
        <w:textAlignment w:val="baseline"/>
        <w:rPr>
          <w:rFonts w:cs="Times New Roman"/>
          <w:sz w:val="22"/>
          <w:szCs w:val="22"/>
          <w:lang w:eastAsia="ru-RU"/>
        </w:rPr>
      </w:pPr>
      <w:r>
        <w:rPr>
          <w:rFonts w:cs="Times New Roman"/>
          <w:noProof/>
          <w:sz w:val="22"/>
          <w:szCs w:val="22"/>
          <w:lang w:eastAsia="ru-RU"/>
        </w:rPr>
        <w:drawing>
          <wp:inline distT="0" distB="0" distL="0" distR="0">
            <wp:extent cx="1609725" cy="39052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C114DD">
        <w:rPr>
          <w:rFonts w:cs="Times New Roman"/>
          <w:sz w:val="22"/>
          <w:szCs w:val="22"/>
          <w:lang w:eastAsia="ru-RU"/>
        </w:rPr>
        <w:t>,</w:t>
      </w:r>
    </w:p>
    <w:p w:rsidR="00C114DD" w:rsidRDefault="00C114DD">
      <w:pPr>
        <w:shd w:val="clear" w:color="auto" w:fill="FFFFFF"/>
        <w:suppressAutoHyphens w:val="0"/>
        <w:ind w:right="-142" w:firstLine="567"/>
        <w:textAlignment w:val="baseline"/>
        <w:rPr>
          <w:rFonts w:cs="Times New Roman"/>
          <w:sz w:val="22"/>
          <w:szCs w:val="22"/>
          <w:lang w:eastAsia="ru-RU"/>
        </w:rPr>
      </w:pPr>
      <w:proofErr w:type="gramStart"/>
      <w:r>
        <w:rPr>
          <w:rFonts w:cs="Times New Roman"/>
          <w:sz w:val="22"/>
          <w:szCs w:val="22"/>
          <w:lang w:eastAsia="ru-RU"/>
        </w:rPr>
        <w:t>где:</w:t>
      </w:r>
      <w:r w:rsidR="003665DC">
        <w:rPr>
          <w:rFonts w:cs="Times New Roman"/>
          <w:noProof/>
          <w:sz w:val="22"/>
          <w:szCs w:val="22"/>
          <w:lang w:eastAsia="ru-RU"/>
        </w:rPr>
        <w:drawing>
          <wp:inline distT="0" distB="0" distL="0" distR="0">
            <wp:extent cx="1333500" cy="25717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rFonts w:cs="Times New Roman"/>
          <w:sz w:val="22"/>
          <w:szCs w:val="22"/>
          <w:lang w:eastAsia="ru-RU"/>
        </w:rPr>
        <w:t>, определяемая методом сопоставимых рыночных цен (анализа рынка);</w:t>
      </w:r>
      <w:r w:rsidR="003665DC">
        <w:rPr>
          <w:rFonts w:cs="Times New Roman"/>
          <w:noProof/>
          <w:sz w:val="22"/>
          <w:szCs w:val="22"/>
          <w:lang w:eastAsia="ru-RU"/>
        </w:rPr>
        <w:drawing>
          <wp:inline distT="0" distB="0" distL="0" distR="0">
            <wp:extent cx="123825" cy="142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(объем) закупаемого товара (работы, услуги);</w:t>
      </w:r>
      <w:r w:rsidR="003665DC">
        <w:rPr>
          <w:rFonts w:cs="Times New Roman"/>
          <w:noProof/>
          <w:sz w:val="22"/>
          <w:szCs w:val="22"/>
          <w:lang w:eastAsia="ru-RU"/>
        </w:rPr>
        <w:drawing>
          <wp:inline distT="0" distB="0" distL="0" distR="0">
            <wp:extent cx="12382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значений, используемых в расчете;</w:t>
      </w:r>
      <w:r w:rsidR="003665DC">
        <w:rPr>
          <w:rFonts w:cs="Times New Roman"/>
          <w:noProof/>
          <w:sz w:val="22"/>
          <w:szCs w:val="22"/>
          <w:lang w:eastAsia="ru-RU"/>
        </w:rPr>
        <w:drawing>
          <wp:inline distT="0" distB="0" distL="0" distR="0">
            <wp:extent cx="85725" cy="1619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 номер источника ценовой информации;</w:t>
      </w:r>
      <w:proofErr w:type="gramEnd"/>
      <w:r w:rsidR="003665DC">
        <w:rPr>
          <w:rFonts w:cs="Times New Roman"/>
          <w:noProof/>
          <w:sz w:val="22"/>
          <w:szCs w:val="22"/>
          <w:lang w:eastAsia="ru-RU"/>
        </w:rPr>
        <w:drawing>
          <wp:inline distT="0" distB="0" distL="0" distR="0">
            <wp:extent cx="200025" cy="219075"/>
            <wp:effectExtent l="0" t="0" r="9525"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Times New Roman"/>
          <w:sz w:val="22"/>
          <w:szCs w:val="22"/>
          <w:lang w:eastAsia="ru-RU"/>
        </w:rPr>
        <w:t xml:space="preserve"> - </w:t>
      </w:r>
      <w:proofErr w:type="gramStart"/>
      <w:r>
        <w:rPr>
          <w:rFonts w:cs="Times New Roman"/>
          <w:sz w:val="22"/>
          <w:szCs w:val="22"/>
          <w:lang w:eastAsia="ru-RU"/>
        </w:rPr>
        <w:t>цена единицы товара, работы, услуги, представленная в источнике с номером </w:t>
      </w:r>
      <w:r w:rsidR="003665DC">
        <w:rPr>
          <w:rFonts w:cs="Times New Roman"/>
          <w:noProof/>
          <w:sz w:val="22"/>
          <w:szCs w:val="22"/>
          <w:lang w:eastAsia="ru-RU"/>
        </w:rPr>
        <w:drawing>
          <wp:inline distT="0" distB="0" distL="0" distR="0">
            <wp:extent cx="85725" cy="16192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roofErr w:type="gramEnd"/>
      <w:r>
        <w:rPr>
          <w:rFonts w:cs="Times New Roman"/>
          <w:sz w:val="22"/>
          <w:szCs w:val="22"/>
          <w:lang w:eastAsia="ru-RU"/>
        </w:rPr>
        <w:t xml:space="preserve"> В данном случае корректировка не проводится.</w:t>
      </w:r>
    </w:p>
    <w:p w:rsidR="00C114DD" w:rsidRDefault="00C114DD">
      <w:pPr>
        <w:suppressAutoHyphens w:val="0"/>
        <w:overflowPunct w:val="0"/>
        <w:autoSpaceDE w:val="0"/>
        <w:snapToGrid w:val="0"/>
        <w:ind w:right="-142" w:firstLine="567"/>
        <w:textAlignment w:val="baseline"/>
        <w:rPr>
          <w:rFonts w:ascii="Tahoma" w:hAnsi="Tahoma" w:cs="Tahoma"/>
          <w:sz w:val="22"/>
          <w:szCs w:val="22"/>
        </w:rPr>
        <w:sectPr w:rsidR="00C114DD">
          <w:headerReference w:type="default" r:id="rId14"/>
          <w:footerReference w:type="default" r:id="rId15"/>
          <w:pgSz w:w="11906" w:h="16838"/>
          <w:pgMar w:top="822" w:right="849" w:bottom="426" w:left="1134" w:header="765" w:footer="720" w:gutter="0"/>
          <w:cols w:space="720"/>
          <w:docGrid w:linePitch="326"/>
        </w:sectPr>
      </w:pPr>
    </w:p>
    <w:p w:rsidR="00C114DD" w:rsidRDefault="00C114DD">
      <w:pPr>
        <w:suppressAutoHyphens w:val="0"/>
        <w:overflowPunct w:val="0"/>
        <w:autoSpaceDE w:val="0"/>
        <w:snapToGrid w:val="0"/>
        <w:ind w:right="-142" w:firstLine="567"/>
        <w:textAlignment w:val="baseline"/>
        <w:rPr>
          <w:rFonts w:eastAsia="TimesNewRomanPSMT" w:cs="Times New Roman"/>
          <w:spacing w:val="-4"/>
          <w:sz w:val="22"/>
          <w:szCs w:val="22"/>
          <w:lang w:eastAsia="ar-SA"/>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16"/>
      <w:footerReference w:type="default" r:id="rId17"/>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F706CD">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114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4704B1"/>
    <w:rsid w:val="00747724"/>
    <w:rsid w:val="00C114DD"/>
    <w:rsid w:val="00F7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1958</Words>
  <Characters>14915</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Фролова Анна Александровна</cp:lastModifiedBy>
  <cp:revision>6</cp:revision>
  <cp:lastPrinted>2018-02-13T04:30:00Z</cp:lastPrinted>
  <dcterms:created xsi:type="dcterms:W3CDTF">2018-02-16T05:25:00Z</dcterms:created>
  <dcterms:modified xsi:type="dcterms:W3CDTF">2018-02-16T06:01:00Z</dcterms:modified>
</cp:coreProperties>
</file>