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2C401A" w:rsidRDefault="002C401A" w:rsidP="002C401A">
      <w:pPr>
        <w:pStyle w:val="ListParagraph"/>
        <w:widowControl/>
        <w:spacing w:line="100" w:lineRule="atLeast"/>
        <w:ind w:left="0" w:firstLine="709"/>
        <w:jc w:val="center"/>
        <w:rPr>
          <w:rStyle w:val="11"/>
          <w:rFonts w:eastAsia="Times New Roman"/>
          <w:b w:val="0"/>
          <w:bCs/>
          <w:color w:val="000000"/>
          <w:kern w:val="24"/>
          <w:sz w:val="24"/>
          <w:szCs w:val="24"/>
          <w:shd w:val="clear" w:color="auto" w:fill="FFFFFF"/>
        </w:rPr>
      </w:pPr>
      <w:r w:rsidRPr="00481875">
        <w:rPr>
          <w:rStyle w:val="11"/>
          <w:rFonts w:eastAsia="Courier New" w:cs="Arial"/>
          <w:b w:val="0"/>
          <w:color w:val="000000"/>
          <w:kern w:val="24"/>
          <w:sz w:val="24"/>
          <w:szCs w:val="24"/>
          <w:shd w:val="clear" w:color="auto" w:fill="FFFFFF"/>
        </w:rPr>
        <w:t>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заболевания по Классу VI МКБ-10 «Болезни нервной системы»</w:t>
      </w:r>
      <w:r w:rsidRPr="00481875">
        <w:rPr>
          <w:rStyle w:val="11"/>
          <w:rFonts w:eastAsia="Times New Roman"/>
          <w:b w:val="0"/>
          <w:bCs/>
          <w:color w:val="000000"/>
          <w:kern w:val="24"/>
          <w:sz w:val="24"/>
          <w:szCs w:val="24"/>
          <w:shd w:val="clear" w:color="auto" w:fill="FFFFFF"/>
        </w:rPr>
        <w:t>.</w:t>
      </w:r>
    </w:p>
    <w:p w:rsidR="002C401A" w:rsidRDefault="002C401A" w:rsidP="002C401A">
      <w:pPr>
        <w:pStyle w:val="ListParagraph"/>
        <w:widowControl/>
        <w:spacing w:line="100" w:lineRule="atLeast"/>
        <w:ind w:left="0" w:firstLine="709"/>
        <w:jc w:val="center"/>
        <w:rPr>
          <w:lang w:val="ru-RU"/>
        </w:rPr>
      </w:pPr>
    </w:p>
    <w:p w:rsidR="002C401A" w:rsidRDefault="002C401A" w:rsidP="002C401A">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2C401A" w:rsidRDefault="002C401A" w:rsidP="002C401A">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2C401A" w:rsidRDefault="002C401A" w:rsidP="002C401A">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2C401A" w:rsidRDefault="002C401A" w:rsidP="002C401A">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2C401A" w:rsidRDefault="002C401A" w:rsidP="002C401A">
      <w:pPr>
        <w:tabs>
          <w:tab w:val="left" w:pos="416"/>
        </w:tabs>
        <w:ind w:left="29" w:firstLine="690"/>
        <w:jc w:val="both"/>
        <w:rPr>
          <w:rFonts w:eastAsia="Times New Roman"/>
        </w:rPr>
      </w:pPr>
    </w:p>
    <w:p w:rsidR="002C401A" w:rsidRDefault="002C401A" w:rsidP="002C401A">
      <w:pPr>
        <w:shd w:val="clear" w:color="auto" w:fill="FFFFFF"/>
        <w:tabs>
          <w:tab w:val="left" w:pos="709"/>
        </w:tabs>
        <w:ind w:firstLine="709"/>
        <w:jc w:val="both"/>
        <w:rPr>
          <w:rFonts w:eastAsia="Times New Roman"/>
          <w:sz w:val="12"/>
          <w:szCs w:val="12"/>
        </w:rPr>
      </w:pPr>
      <w:r>
        <w:rPr>
          <w:rFonts w:eastAsia="Times New Roman"/>
          <w:b/>
          <w:bCs/>
          <w:color w:val="000000"/>
        </w:rPr>
        <w:t xml:space="preserve">приказом от 22.11.2004 № 217 «Об утверждении стандарта санаторно-курортной помощи больным с воспалительными болезнями центральной нервной системы». </w:t>
      </w:r>
    </w:p>
    <w:p w:rsidR="002C401A" w:rsidRDefault="002C401A" w:rsidP="002C401A">
      <w:pPr>
        <w:tabs>
          <w:tab w:val="left" w:pos="416"/>
        </w:tabs>
        <w:ind w:left="29" w:firstLine="690"/>
        <w:jc w:val="both"/>
        <w:rPr>
          <w:rFonts w:eastAsia="Times New Roman"/>
          <w:sz w:val="12"/>
          <w:szCs w:val="12"/>
        </w:rPr>
      </w:pPr>
    </w:p>
    <w:p w:rsidR="002C401A" w:rsidRDefault="002C401A" w:rsidP="002C401A">
      <w:pPr>
        <w:tabs>
          <w:tab w:val="left" w:pos="416"/>
        </w:tabs>
        <w:ind w:left="29" w:firstLine="690"/>
        <w:jc w:val="both"/>
        <w:rPr>
          <w:rFonts w:eastAsia="Times New Roman"/>
          <w:sz w:val="12"/>
          <w:szCs w:val="12"/>
        </w:rPr>
      </w:pPr>
    </w:p>
    <w:p w:rsidR="002C401A" w:rsidRDefault="002C401A" w:rsidP="002C401A">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2C401A" w:rsidRDefault="002C401A" w:rsidP="002C401A">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2C401A" w:rsidRDefault="002C401A" w:rsidP="002C401A">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E0683D">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sidRPr="00E0683D">
        <w:rPr>
          <w:rFonts w:eastAsia="Times New Roman"/>
        </w:rPr>
        <w:t>пандусы</w:t>
      </w:r>
      <w:r>
        <w:rPr>
          <w:rFonts w:eastAsia="Times New Roman"/>
          <w:shd w:val="clear" w:color="auto" w:fill="FFFFFF"/>
        </w:rPr>
        <w:t xml:space="preserve">,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2C401A" w:rsidRDefault="002C401A" w:rsidP="002C401A">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2C401A" w:rsidRDefault="002C401A" w:rsidP="002C401A">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2C401A" w:rsidRDefault="002C401A" w:rsidP="002C401A">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2C401A" w:rsidRDefault="002C401A" w:rsidP="002C401A">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2C401A" w:rsidRPr="00AF290E" w:rsidRDefault="002C401A" w:rsidP="002C401A">
      <w:pPr>
        <w:tabs>
          <w:tab w:val="left" w:pos="416"/>
        </w:tabs>
        <w:ind w:left="29" w:firstLine="690"/>
        <w:jc w:val="both"/>
        <w:rPr>
          <w:rFonts w:eastAsia="Times New Roman" w:cs="Arial"/>
          <w:color w:val="000000"/>
          <w:spacing w:val="-2"/>
          <w:shd w:val="clear" w:color="auto" w:fill="FFFFFF"/>
        </w:rPr>
        <w:sectPr w:rsidR="002C401A" w:rsidRPr="00AF290E">
          <w:footerReference w:type="even" r:id="rId8"/>
          <w:footerReference w:type="default" r:id="rId9"/>
          <w:pgSz w:w="11906" w:h="16838"/>
          <w:pgMar w:top="851" w:right="680" w:bottom="1069" w:left="1247" w:header="720" w:footer="721" w:gutter="0"/>
          <w:cols w:space="720"/>
          <w:docGrid w:linePitch="600" w:charSpace="32768"/>
        </w:sectPr>
      </w:pPr>
      <w:r>
        <w:rPr>
          <w:rStyle w:val="11"/>
          <w:rFonts w:eastAsia="Times New Roman" w:cs="Arial"/>
          <w:b w:val="0"/>
          <w:color w:val="000000"/>
          <w:spacing w:val="-2"/>
          <w:shd w:val="clear" w:color="auto" w:fill="FFFFFF"/>
        </w:rPr>
        <w:t>- предоставляет разнообразный досуг в течение всего срока действия путевки.</w:t>
      </w:r>
    </w:p>
    <w:p w:rsidR="002C401A" w:rsidRDefault="002C401A" w:rsidP="002C401A">
      <w:pPr>
        <w:pStyle w:val="a9"/>
        <w:pageBreakBefore/>
        <w:widowControl/>
        <w:tabs>
          <w:tab w:val="left" w:pos="416"/>
        </w:tabs>
        <w:suppressAutoHyphens w:val="0"/>
        <w:snapToGrid w:val="0"/>
        <w:spacing w:after="0" w:line="200" w:lineRule="atLeast"/>
        <w:ind w:left="29" w:firstLine="690"/>
        <w:jc w:val="right"/>
        <w:rPr>
          <w:b/>
          <w:bCs/>
          <w:shd w:val="clear" w:color="auto" w:fill="FFFFFF"/>
        </w:rPr>
      </w:pPr>
    </w:p>
    <w:p w:rsidR="002C401A" w:rsidRDefault="002C401A" w:rsidP="002C401A">
      <w:pPr>
        <w:pStyle w:val="a9"/>
        <w:widowControl/>
        <w:tabs>
          <w:tab w:val="left" w:pos="416"/>
        </w:tabs>
        <w:suppressAutoHyphens w:val="0"/>
        <w:snapToGrid w:val="0"/>
        <w:spacing w:after="0" w:line="200" w:lineRule="atLeast"/>
        <w:ind w:left="29" w:firstLine="690"/>
        <w:jc w:val="right"/>
        <w:rPr>
          <w:b/>
          <w:bCs/>
          <w:sz w:val="22"/>
          <w:szCs w:val="22"/>
          <w:shd w:val="clear" w:color="auto" w:fill="FFFFFF"/>
        </w:rPr>
      </w:pPr>
      <w:r>
        <w:rPr>
          <w:b/>
          <w:bCs/>
          <w:shd w:val="clear" w:color="auto" w:fill="FFFFFF"/>
        </w:rPr>
        <w:t>Приложение к документации об электронном аукционе</w:t>
      </w:r>
    </w:p>
    <w:p w:rsidR="002C401A" w:rsidRDefault="002C401A" w:rsidP="002C401A">
      <w:pPr>
        <w:pStyle w:val="a9"/>
        <w:widowControl/>
        <w:tabs>
          <w:tab w:val="left" w:pos="416"/>
        </w:tabs>
        <w:suppressAutoHyphens w:val="0"/>
        <w:snapToGrid w:val="0"/>
        <w:spacing w:after="0" w:line="200" w:lineRule="atLeast"/>
        <w:ind w:left="29" w:firstLine="690"/>
        <w:jc w:val="right"/>
        <w:rPr>
          <w:b/>
          <w:bCs/>
          <w:sz w:val="22"/>
          <w:szCs w:val="22"/>
          <w:shd w:val="clear" w:color="auto" w:fill="FFFFFF"/>
        </w:rPr>
      </w:pPr>
    </w:p>
    <w:p w:rsidR="002C401A" w:rsidRDefault="002C401A" w:rsidP="002C401A">
      <w:pPr>
        <w:pStyle w:val="a9"/>
        <w:widowControl/>
        <w:tabs>
          <w:tab w:val="left" w:pos="416"/>
        </w:tabs>
        <w:suppressAutoHyphens w:val="0"/>
        <w:snapToGrid w:val="0"/>
        <w:spacing w:after="0" w:line="200" w:lineRule="atLeast"/>
        <w:ind w:left="29" w:firstLine="690"/>
        <w:jc w:val="right"/>
        <w:rPr>
          <w:b/>
          <w:bCs/>
          <w:sz w:val="22"/>
          <w:szCs w:val="22"/>
          <w:shd w:val="clear" w:color="auto" w:fill="FFFFFF"/>
        </w:rPr>
      </w:pPr>
    </w:p>
    <w:p w:rsidR="002C401A" w:rsidRDefault="002C401A" w:rsidP="002C401A">
      <w:pPr>
        <w:pStyle w:val="a9"/>
        <w:widowControl/>
        <w:tabs>
          <w:tab w:val="left" w:pos="416"/>
        </w:tabs>
        <w:suppressAutoHyphens w:val="0"/>
        <w:snapToGrid w:val="0"/>
        <w:spacing w:after="0" w:line="200" w:lineRule="atLeast"/>
        <w:ind w:left="29" w:firstLine="690"/>
        <w:jc w:val="right"/>
        <w:rPr>
          <w:b/>
          <w:bCs/>
          <w:sz w:val="22"/>
          <w:szCs w:val="22"/>
          <w:shd w:val="clear" w:color="auto" w:fill="FFFFFF"/>
        </w:rPr>
      </w:pPr>
    </w:p>
    <w:p w:rsidR="002C401A" w:rsidRDefault="002C401A" w:rsidP="002C401A">
      <w:pPr>
        <w:pStyle w:val="a9"/>
        <w:widowControl/>
        <w:tabs>
          <w:tab w:val="left" w:pos="416"/>
        </w:tabs>
        <w:suppressAutoHyphens w:val="0"/>
        <w:snapToGrid w:val="0"/>
        <w:spacing w:after="0" w:line="200" w:lineRule="atLeast"/>
        <w:ind w:left="29" w:firstLine="18"/>
        <w:jc w:val="center"/>
        <w:rPr>
          <w:b/>
          <w:bCs/>
          <w:shd w:val="clear" w:color="auto" w:fill="FFFFFF"/>
        </w:rPr>
      </w:pPr>
      <w:r>
        <w:rPr>
          <w:b/>
          <w:bCs/>
          <w:shd w:val="clear" w:color="auto" w:fill="FFFFFF"/>
        </w:rPr>
        <w:t>Расчет-обоснование начальной (максимальной) цены контракта</w:t>
      </w:r>
    </w:p>
    <w:p w:rsidR="002C401A" w:rsidRDefault="002C401A" w:rsidP="002C401A">
      <w:pPr>
        <w:pStyle w:val="a9"/>
        <w:widowControl/>
        <w:tabs>
          <w:tab w:val="left" w:pos="416"/>
        </w:tabs>
        <w:suppressAutoHyphens w:val="0"/>
        <w:snapToGrid w:val="0"/>
        <w:spacing w:after="0" w:line="200" w:lineRule="atLeast"/>
        <w:ind w:left="29" w:firstLine="690"/>
        <w:jc w:val="center"/>
        <w:rPr>
          <w:b/>
          <w:bCs/>
          <w:shd w:val="clear" w:color="auto" w:fill="FFFFFF"/>
        </w:rPr>
      </w:pPr>
    </w:p>
    <w:p w:rsidR="002C401A" w:rsidRDefault="002C401A" w:rsidP="002C401A">
      <w:pPr>
        <w:spacing w:after="170" w:line="200" w:lineRule="atLeast"/>
        <w:ind w:firstLine="709"/>
        <w:jc w:val="both"/>
        <w:rPr>
          <w:rFonts w:eastAsia="Times New Roman"/>
          <w:shd w:val="clear" w:color="auto" w:fill="FFFFFF"/>
        </w:rPr>
      </w:pPr>
      <w:r>
        <w:rPr>
          <w:shd w:val="clear" w:color="auto" w:fill="FFFFFF"/>
        </w:rPr>
        <w:t>Для определения начальной (максимальной) цены контракта Заказчиком использован м</w:t>
      </w:r>
      <w:r>
        <w:rPr>
          <w:rFonts w:eastAsia="Times New Roman"/>
          <w:shd w:val="clear" w:color="auto" w:fill="FFFFFF"/>
        </w:rPr>
        <w:t xml:space="preserve">етод </w:t>
      </w:r>
      <w:r>
        <w:rPr>
          <w:shd w:val="clear" w:color="auto" w:fill="FFFFFF"/>
        </w:rPr>
        <w:t>сопоставимых рыночных цен</w:t>
      </w:r>
      <w:r>
        <w:rPr>
          <w:rFonts w:eastAsia="Times New Roman"/>
          <w:shd w:val="clear" w:color="auto" w:fill="FFFFFF"/>
        </w:rPr>
        <w:t xml:space="preserve"> (анализ рынка).</w:t>
      </w:r>
    </w:p>
    <w:p w:rsidR="002C401A" w:rsidRDefault="002C401A" w:rsidP="002C401A">
      <w:pPr>
        <w:spacing w:after="170" w:line="200" w:lineRule="atLeast"/>
        <w:ind w:firstLine="709"/>
        <w:jc w:val="both"/>
      </w:pPr>
      <w:r>
        <w:rPr>
          <w:rFonts w:eastAsia="Times New Roman"/>
          <w:shd w:val="clear" w:color="auto" w:fill="FFFFFF"/>
        </w:rPr>
        <w:t xml:space="preserve">Начальная (максимальная) цена контракта исчислена как сумма произведений среднего ценового значения предложений исполнителей на необходимое количество путевок по каждому виду путевок. </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Стоимость лечения по одной путевки согласно коммерческим предложениям, сопоставимым с условиями закупки, составила:</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-для пострадавших: 36226,68 руб. (Исполнитель №1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№12892 от 27.12.2017г.); 35390,04 руб. (Исполнитель №2 —вх.12894 от 27.12.2017г.); 38220,00 руб. (Исполнитель №3 –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12891 от 27.12.2017г.); 35070,00</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Количество путевок: 97.</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НМЦК: (35390,04+38220+35070) / 3 * 97 = 3 513 987,96 руб.</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-для сопровождающих лиц: 28147,00 руб. (Исполнитель №1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№12892 от 27.12.2017г.); 26901,00 руб. (Исполнитель №2 —вх.12894 от 27.12.2017г.); 30870,00 руб. (Исполнитель №3 – вх.12891 от 27.12.2017г.); 26670 руб.</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Количество путевок: 3.</w:t>
      </w:r>
    </w:p>
    <w:p w:rsidR="002C401A" w:rsidRDefault="002C401A" w:rsidP="002C401A">
      <w:pPr>
        <w:pStyle w:val="ConsPlusNormal"/>
        <w:rPr>
          <w:rFonts w:ascii="Times New Roman" w:hAnsi="Times New Roman" w:cs="Times New Roman"/>
          <w:sz w:val="24"/>
          <w:szCs w:val="24"/>
        </w:rPr>
      </w:pPr>
      <w:r>
        <w:rPr>
          <w:rFonts w:ascii="Times New Roman" w:hAnsi="Times New Roman" w:cs="Times New Roman"/>
          <w:sz w:val="24"/>
          <w:szCs w:val="24"/>
        </w:rPr>
        <w:t>НМЦК: (26901+30870+26670) / 3 * 3 = 84 441,00 руб.</w:t>
      </w:r>
    </w:p>
    <w:p w:rsidR="002C401A" w:rsidRDefault="002C401A" w:rsidP="002C401A">
      <w:pPr>
        <w:pStyle w:val="ConsPlusNormal"/>
        <w:rPr>
          <w:rFonts w:ascii="Times New Roman" w:hAnsi="Times New Roman" w:cs="Times New Roman"/>
          <w:sz w:val="24"/>
          <w:szCs w:val="24"/>
        </w:rPr>
      </w:pPr>
    </w:p>
    <w:p w:rsidR="004C75CF" w:rsidRPr="00D56222" w:rsidRDefault="004C75CF" w:rsidP="002C401A">
      <w:pPr>
        <w:jc w:val="center"/>
      </w:pPr>
      <w:bookmarkStart w:id="0" w:name="_GoBack"/>
      <w:bookmarkEnd w:id="0"/>
    </w:p>
    <w:sectPr w:rsidR="004C75CF" w:rsidRPr="00D56222" w:rsidSect="004D08F0">
      <w:footerReference w:type="even" r:id="rId10"/>
      <w:footerReference w:type="default" r:id="rId11"/>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04" w:rsidRDefault="00925004">
      <w:r>
        <w:separator/>
      </w:r>
    </w:p>
  </w:endnote>
  <w:endnote w:type="continuationSeparator" w:id="0">
    <w:p w:rsidR="00925004" w:rsidRDefault="009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1A" w:rsidRDefault="002C401A">
    <w:pPr>
      <w:pStyle w:val="a3"/>
      <w:spacing w:after="200"/>
      <w:jc w:val="center"/>
    </w:pPr>
    <w:r>
      <w:fldChar w:fldCharType="begin"/>
    </w:r>
    <w:r>
      <w:instrText xml:space="preserve"> PAGE \*Arabic </w:instrText>
    </w:r>
    <w:r>
      <w:fldChar w:fldCharType="separate"/>
    </w:r>
    <w:r>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1A" w:rsidRDefault="002C401A">
    <w:pPr>
      <w:pStyle w:val="a3"/>
      <w:spacing w:after="200"/>
      <w:jc w:val="center"/>
    </w:pPr>
    <w:r>
      <w:fldChar w:fldCharType="begin"/>
    </w:r>
    <w:r>
      <w:instrText xml:space="preserve"> PAGE \*Arabic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2C401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04" w:rsidRDefault="00925004">
      <w:r>
        <w:separator/>
      </w:r>
    </w:p>
  </w:footnote>
  <w:footnote w:type="continuationSeparator" w:id="0">
    <w:p w:rsidR="00925004" w:rsidRDefault="0092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2C401A"/>
    <w:rsid w:val="00366146"/>
    <w:rsid w:val="003A2D9B"/>
    <w:rsid w:val="004C75CF"/>
    <w:rsid w:val="004D08F0"/>
    <w:rsid w:val="00867FA5"/>
    <w:rsid w:val="00925004"/>
    <w:rsid w:val="00AB4F9E"/>
    <w:rsid w:val="00B95179"/>
    <w:rsid w:val="00C1151D"/>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ListParagraph">
    <w:name w:val="List Paragraph"/>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ListParagraph">
    <w:name w:val="List Paragraph"/>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7</cp:revision>
  <dcterms:created xsi:type="dcterms:W3CDTF">2018-02-13T08:34:00Z</dcterms:created>
  <dcterms:modified xsi:type="dcterms:W3CDTF">2018-03-02T07:17:00Z</dcterms:modified>
</cp:coreProperties>
</file>