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22" w:rsidRPr="003524B8" w:rsidRDefault="00666422" w:rsidP="006664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При использовании </w:t>
      </w:r>
      <w:r>
        <w:rPr>
          <w:rFonts w:ascii="Times New Roman" w:eastAsia="Times New Roman" w:hAnsi="Times New Roman" w:cs="Times New Roman"/>
          <w:lang w:eastAsia="ar-SA"/>
        </w:rPr>
        <w:t>Изделия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по назначению нет угрозы для жизни и здоровья потребителя, окружающей среды, использование </w:t>
      </w:r>
      <w:r>
        <w:rPr>
          <w:rFonts w:ascii="Times New Roman" w:eastAsia="Times New Roman" w:hAnsi="Times New Roman" w:cs="Times New Roman"/>
          <w:lang w:eastAsia="ar-SA"/>
        </w:rPr>
        <w:t xml:space="preserve">Изделия </w:t>
      </w:r>
      <w:r w:rsidRPr="003524B8">
        <w:rPr>
          <w:rFonts w:ascii="Times New Roman" w:eastAsia="Times New Roman" w:hAnsi="Times New Roman" w:cs="Times New Roman"/>
          <w:lang w:eastAsia="ar-SA"/>
        </w:rPr>
        <w:t>по назначению не причиняют  вред имуществу потребителя при его эксплуатации. Материалы, при</w:t>
      </w:r>
      <w:r>
        <w:rPr>
          <w:rFonts w:ascii="Times New Roman" w:eastAsia="Times New Roman" w:hAnsi="Times New Roman" w:cs="Times New Roman"/>
          <w:lang w:eastAsia="ar-SA"/>
        </w:rPr>
        <w:t>меняемые для изготовления Изделия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, не содержат 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  </w:t>
      </w:r>
      <w:r w:rsidRPr="003524B8">
        <w:rPr>
          <w:rFonts w:ascii="Times New Roman" w:hAnsi="Times New Roman" w:cs="Times New Roman"/>
        </w:rPr>
        <w:t xml:space="preserve">ГОСТ </w:t>
      </w:r>
      <w:proofErr w:type="gramStart"/>
      <w:r w:rsidRPr="003524B8">
        <w:rPr>
          <w:rFonts w:ascii="Times New Roman" w:hAnsi="Times New Roman" w:cs="Times New Roman"/>
        </w:rPr>
        <w:t>Р</w:t>
      </w:r>
      <w:proofErr w:type="gramEnd"/>
      <w:r w:rsidRPr="003524B8">
        <w:rPr>
          <w:rFonts w:ascii="Times New Roman" w:hAnsi="Times New Roman" w:cs="Times New Roman"/>
        </w:rPr>
        <w:t xml:space="preserve"> 52770-</w:t>
      </w:r>
      <w:r>
        <w:rPr>
          <w:rFonts w:ascii="Times New Roman" w:hAnsi="Times New Roman" w:cs="Times New Roman"/>
        </w:rPr>
        <w:t>2016</w:t>
      </w:r>
      <w:r w:rsidRPr="003524B8">
        <w:rPr>
          <w:rFonts w:ascii="Times New Roman" w:hAnsi="Times New Roman" w:cs="Times New Roman"/>
        </w:rPr>
        <w:t>.</w:t>
      </w:r>
    </w:p>
    <w:p w:rsidR="00666422" w:rsidRPr="003524B8" w:rsidRDefault="00666422" w:rsidP="0066642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Изделие соответствует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 требованиям стандартов серии ГОСТ </w:t>
      </w:r>
      <w:r w:rsidRPr="003524B8">
        <w:rPr>
          <w:rFonts w:ascii="Times New Roman" w:eastAsia="Times New Roman" w:hAnsi="Times New Roman" w:cs="Times New Roman"/>
          <w:lang w:val="en-US" w:eastAsia="ar-SA"/>
        </w:rPr>
        <w:t>ISO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10993-1-2011 «Оценка биологического действия медицинских изделий».</w:t>
      </w:r>
    </w:p>
    <w:p w:rsidR="00666422" w:rsidRPr="003524B8" w:rsidRDefault="00666422" w:rsidP="0066642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Изделие соответствует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 требованиям стандартов серии ГОСТ </w:t>
      </w:r>
      <w:r w:rsidRPr="003524B8">
        <w:rPr>
          <w:rFonts w:ascii="Times New Roman" w:eastAsia="Times New Roman" w:hAnsi="Times New Roman" w:cs="Times New Roman"/>
          <w:lang w:val="en-US" w:eastAsia="ar-SA"/>
        </w:rPr>
        <w:t>ISO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10993-5-2011 «Оценка биологического действия медицинских изделий».</w:t>
      </w:r>
    </w:p>
    <w:p w:rsidR="00666422" w:rsidRPr="003524B8" w:rsidRDefault="00666422" w:rsidP="0066642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Изделие соответствует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 требованиям стандартов серии ГОСТ </w:t>
      </w:r>
      <w:r w:rsidRPr="003524B8">
        <w:rPr>
          <w:rFonts w:ascii="Times New Roman" w:eastAsia="Times New Roman" w:hAnsi="Times New Roman" w:cs="Times New Roman"/>
          <w:lang w:val="en-US" w:eastAsia="ar-SA"/>
        </w:rPr>
        <w:t>ISO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10993-10-2011 «Оценка биологического действия медицинских изделий».</w:t>
      </w:r>
    </w:p>
    <w:p w:rsidR="00666422" w:rsidRDefault="00666422" w:rsidP="0066642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Изделие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соответствует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 требованиям стандартов серии </w:t>
      </w:r>
      <w:r w:rsidRPr="003524B8">
        <w:rPr>
          <w:rFonts w:ascii="Times New Roman" w:hAnsi="Times New Roman" w:cs="Times New Roman"/>
        </w:rPr>
        <w:t xml:space="preserve">ГОСТ </w:t>
      </w:r>
      <w:proofErr w:type="gramStart"/>
      <w:r w:rsidRPr="003524B8">
        <w:rPr>
          <w:rFonts w:ascii="Times New Roman" w:hAnsi="Times New Roman" w:cs="Times New Roman"/>
        </w:rPr>
        <w:t>Р</w:t>
      </w:r>
      <w:proofErr w:type="gramEnd"/>
      <w:r w:rsidRPr="003524B8">
        <w:rPr>
          <w:rFonts w:ascii="Times New Roman" w:hAnsi="Times New Roman" w:cs="Times New Roman"/>
        </w:rPr>
        <w:t xml:space="preserve"> 51632-2014 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66422" w:rsidRDefault="00666422" w:rsidP="0066642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Изделие соответствует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 требованиям стандартов серии </w:t>
      </w:r>
      <w:r w:rsidRPr="003524B8">
        <w:rPr>
          <w:rFonts w:ascii="Times New Roman" w:hAnsi="Times New Roman" w:cs="Times New Roman"/>
        </w:rPr>
        <w:t xml:space="preserve">ГОСТ </w:t>
      </w:r>
      <w:proofErr w:type="gramStart"/>
      <w:r w:rsidRPr="003524B8">
        <w:rPr>
          <w:rFonts w:ascii="Times New Roman" w:hAnsi="Times New Roman" w:cs="Times New Roman"/>
        </w:rPr>
        <w:t>Р</w:t>
      </w:r>
      <w:proofErr w:type="gramEnd"/>
      <w:r w:rsidRPr="00352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ИСО 22523-2007</w:t>
      </w:r>
      <w:r w:rsidRPr="003524B8">
        <w:rPr>
          <w:rFonts w:ascii="Times New Roman" w:hAnsi="Times New Roman" w:cs="Times New Roman"/>
        </w:rPr>
        <w:t xml:space="preserve"> 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lang w:eastAsia="ar-SA"/>
        </w:rPr>
        <w:t>Протезы конечностей и ортезы наружные. Требования и методы испытаний</w:t>
      </w:r>
      <w:r w:rsidRPr="003524B8">
        <w:rPr>
          <w:rFonts w:ascii="Times New Roman" w:eastAsia="Times New Roman" w:hAnsi="Times New Roman" w:cs="Times New Roman"/>
          <w:lang w:eastAsia="ar-SA"/>
        </w:rPr>
        <w:t>».</w:t>
      </w:r>
    </w:p>
    <w:p w:rsidR="00666422" w:rsidRDefault="00666422" w:rsidP="0066642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Изделие соответствует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 требованиям стандартов серии </w:t>
      </w:r>
      <w:r w:rsidRPr="003524B8">
        <w:rPr>
          <w:rFonts w:ascii="Times New Roman" w:hAnsi="Times New Roman" w:cs="Times New Roman"/>
        </w:rPr>
        <w:t xml:space="preserve">ГОСТ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53869-2010</w:t>
      </w:r>
      <w:r w:rsidRPr="003524B8">
        <w:rPr>
          <w:rFonts w:ascii="Times New Roman" w:hAnsi="Times New Roman" w:cs="Times New Roman"/>
        </w:rPr>
        <w:t xml:space="preserve"> 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lang w:eastAsia="ar-SA"/>
        </w:rPr>
        <w:t>Протезы нижних конечностей. Технические требования</w:t>
      </w:r>
      <w:r w:rsidRPr="003524B8">
        <w:rPr>
          <w:rFonts w:ascii="Times New Roman" w:eastAsia="Times New Roman" w:hAnsi="Times New Roman" w:cs="Times New Roman"/>
          <w:lang w:eastAsia="ar-SA"/>
        </w:rPr>
        <w:t>».</w:t>
      </w:r>
    </w:p>
    <w:p w:rsidR="00666422" w:rsidRDefault="00666422" w:rsidP="00666422">
      <w:pPr>
        <w:rPr>
          <w:rFonts w:ascii="Times New Roman" w:hAnsi="Times New Roman"/>
          <w:kern w:val="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4573"/>
        <w:gridCol w:w="709"/>
        <w:gridCol w:w="1275"/>
        <w:gridCol w:w="1418"/>
      </w:tblGrid>
      <w:tr w:rsidR="00666422" w:rsidRPr="00F94764" w:rsidTr="00AB703E">
        <w:tc>
          <w:tcPr>
            <w:tcW w:w="1807" w:type="dxa"/>
          </w:tcPr>
          <w:p w:rsidR="00666422" w:rsidRPr="00F94764" w:rsidRDefault="00666422" w:rsidP="00AB703E">
            <w:pPr>
              <w:snapToGrid w:val="0"/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 xml:space="preserve">Наименование </w:t>
            </w:r>
          </w:p>
        </w:tc>
        <w:tc>
          <w:tcPr>
            <w:tcW w:w="4573" w:type="dxa"/>
          </w:tcPr>
          <w:p w:rsidR="00666422" w:rsidRPr="00F94764" w:rsidRDefault="00666422" w:rsidP="00AB703E">
            <w:pPr>
              <w:snapToGrid w:val="0"/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>Описание функциональных и технических характеристик товара</w:t>
            </w:r>
          </w:p>
        </w:tc>
        <w:tc>
          <w:tcPr>
            <w:tcW w:w="709" w:type="dxa"/>
          </w:tcPr>
          <w:p w:rsidR="00666422" w:rsidRPr="00F94764" w:rsidRDefault="00666422" w:rsidP="00AB703E">
            <w:pPr>
              <w:snapToGrid w:val="0"/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>Кол-во штук</w:t>
            </w:r>
          </w:p>
        </w:tc>
        <w:tc>
          <w:tcPr>
            <w:tcW w:w="1275" w:type="dxa"/>
          </w:tcPr>
          <w:p w:rsidR="00666422" w:rsidRPr="00F94764" w:rsidRDefault="00666422" w:rsidP="00AB703E">
            <w:pPr>
              <w:snapToGrid w:val="0"/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 xml:space="preserve">Цена за единицу </w:t>
            </w:r>
          </w:p>
          <w:p w:rsidR="00666422" w:rsidRPr="00F94764" w:rsidRDefault="00666422" w:rsidP="00AB703E">
            <w:pPr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>руб.</w:t>
            </w:r>
          </w:p>
        </w:tc>
        <w:tc>
          <w:tcPr>
            <w:tcW w:w="1418" w:type="dxa"/>
          </w:tcPr>
          <w:p w:rsidR="00666422" w:rsidRPr="00F94764" w:rsidRDefault="00666422" w:rsidP="00AB703E">
            <w:pPr>
              <w:snapToGrid w:val="0"/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>Цена всего,</w:t>
            </w:r>
          </w:p>
          <w:p w:rsidR="00666422" w:rsidRPr="00F94764" w:rsidRDefault="00666422" w:rsidP="00AB703E">
            <w:pPr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>руб</w:t>
            </w:r>
          </w:p>
        </w:tc>
      </w:tr>
      <w:tr w:rsidR="00666422" w:rsidRPr="00F94764" w:rsidTr="00AB703E">
        <w:tc>
          <w:tcPr>
            <w:tcW w:w="1807" w:type="dxa"/>
          </w:tcPr>
          <w:p w:rsidR="00666422" w:rsidRPr="00F94764" w:rsidRDefault="00666422" w:rsidP="00AB703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573" w:type="dxa"/>
          </w:tcPr>
          <w:p w:rsidR="00666422" w:rsidRPr="00F94764" w:rsidRDefault="00666422" w:rsidP="00AB703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666422" w:rsidRPr="00F94764" w:rsidRDefault="00666422" w:rsidP="00AB703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75" w:type="dxa"/>
          </w:tcPr>
          <w:p w:rsidR="00666422" w:rsidRPr="00F94764" w:rsidRDefault="00666422" w:rsidP="00AB703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418" w:type="dxa"/>
          </w:tcPr>
          <w:p w:rsidR="00666422" w:rsidRPr="00F94764" w:rsidRDefault="00666422" w:rsidP="00AB703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F94764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666422" w:rsidRPr="00F94764" w:rsidTr="00AB703E">
        <w:tc>
          <w:tcPr>
            <w:tcW w:w="6380" w:type="dxa"/>
            <w:gridSpan w:val="2"/>
          </w:tcPr>
          <w:p w:rsidR="00666422" w:rsidRPr="009C71E8" w:rsidRDefault="00666422" w:rsidP="00AB7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Протез бедра модульный.</w:t>
            </w:r>
          </w:p>
          <w:p w:rsidR="00666422" w:rsidRDefault="00666422" w:rsidP="00AB703E">
            <w:pPr>
              <w:jc w:val="both"/>
              <w:rPr>
                <w:rFonts w:ascii="Times New Roman" w:hAnsi="Times New Roman"/>
              </w:rPr>
            </w:pPr>
          </w:p>
          <w:p w:rsidR="00666422" w:rsidRPr="0041160A" w:rsidRDefault="00666422" w:rsidP="00AB703E">
            <w:pPr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6867CB">
              <w:rPr>
                <w:rFonts w:ascii="Times New Roman" w:hAnsi="Times New Roman"/>
                <w:color w:val="000000"/>
                <w:szCs w:val="20"/>
              </w:rPr>
              <w:t xml:space="preserve">Протез бедра модульный с приемной гильзой из </w:t>
            </w:r>
            <w:proofErr w:type="spellStart"/>
            <w:r w:rsidRPr="006867CB">
              <w:rPr>
                <w:rFonts w:ascii="Times New Roman" w:hAnsi="Times New Roman"/>
                <w:color w:val="000000"/>
                <w:szCs w:val="20"/>
              </w:rPr>
              <w:t>гипоаллергенных</w:t>
            </w:r>
            <w:proofErr w:type="spellEnd"/>
            <w:r w:rsidRPr="006867CB">
              <w:rPr>
                <w:rFonts w:ascii="Times New Roman" w:hAnsi="Times New Roman"/>
                <w:color w:val="000000"/>
                <w:szCs w:val="20"/>
              </w:rPr>
              <w:t xml:space="preserve"> материалов,</w:t>
            </w:r>
            <w:r w:rsidRPr="006867CB">
              <w:rPr>
                <w:rFonts w:ascii="Times New Roman" w:hAnsi="Times New Roman"/>
                <w:szCs w:val="20"/>
              </w:rPr>
              <w:t xml:space="preserve"> из литьевого слоистого пластика на основе акриловых смол, с содержанием свободных ионов серебра и усиленная высокопрочным  карбоном индивидуального изготовления по слепку.</w:t>
            </w:r>
            <w:proofErr w:type="gramEnd"/>
            <w:r w:rsidRPr="006867CB">
              <w:rPr>
                <w:rFonts w:ascii="Times New Roman" w:hAnsi="Times New Roman"/>
                <w:szCs w:val="20"/>
              </w:rPr>
              <w:t xml:space="preserve"> С применением технологии построения примерочного протеза с приемной гильзой из термопластического полимера. С полимерным чехлом. С использованием полимерных чехлов. Гидравлический одноосный коленный шарнир с электронной системой управления фазой опоры (3E80 или аналог), обеспечивающей более безопасную, по отношению к аналогам, физиологическую ходьбу по любой поверхности, с возможностью настройки коленного шарнира под скорость и условия ходьбы пациента, с "велосипедным" режимом. Углепластиковая стопа (1C30 или аналог) с прогрессивными характеристиками в зависимости от нагрузки за счёт использования сдвоенных карбоновых пружин и эластичной связи переднего и заднего отделов стопы, со средним уровнем энергосбережения, для инвалидов со средним и повышенным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- титан на нагрузку до 125 кг. Без косметической облицовки или косметическая облицовка модульная - пенополиуретан. </w:t>
            </w:r>
            <w:proofErr w:type="gramStart"/>
            <w:r w:rsidRPr="006867CB">
              <w:rPr>
                <w:rFonts w:ascii="Times New Roman" w:hAnsi="Times New Roman"/>
                <w:szCs w:val="20"/>
              </w:rPr>
              <w:t>Крепление с помощью вакуумного клапана или механического замкового устройства для полимерных чехлов).</w:t>
            </w:r>
            <w:proofErr w:type="gramEnd"/>
          </w:p>
        </w:tc>
        <w:tc>
          <w:tcPr>
            <w:tcW w:w="709" w:type="dxa"/>
          </w:tcPr>
          <w:p w:rsidR="00666422" w:rsidRPr="0091798F" w:rsidRDefault="00666422" w:rsidP="00AB703E">
            <w:pPr>
              <w:rPr>
                <w:rFonts w:ascii="Times New Roman" w:hAnsi="Times New Roman"/>
                <w:b/>
                <w:szCs w:val="20"/>
              </w:rPr>
            </w:pPr>
          </w:p>
          <w:p w:rsidR="00666422" w:rsidRPr="0091798F" w:rsidRDefault="00666422" w:rsidP="00AB703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1798F">
              <w:rPr>
                <w:rFonts w:ascii="Times New Roman" w:hAnsi="Times New Roman"/>
                <w:b/>
                <w:szCs w:val="20"/>
              </w:rPr>
              <w:t>1</w:t>
            </w:r>
          </w:p>
          <w:p w:rsidR="00666422" w:rsidRPr="0091798F" w:rsidRDefault="00666422" w:rsidP="00AB703E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5" w:type="dxa"/>
          </w:tcPr>
          <w:p w:rsidR="00666422" w:rsidRPr="0091798F" w:rsidRDefault="00666422" w:rsidP="00AB703E">
            <w:pPr>
              <w:rPr>
                <w:rFonts w:ascii="Times New Roman" w:hAnsi="Times New Roman"/>
                <w:b/>
                <w:szCs w:val="20"/>
              </w:rPr>
            </w:pPr>
          </w:p>
          <w:p w:rsidR="00666422" w:rsidRPr="00EF47C5" w:rsidRDefault="00666422" w:rsidP="00AB703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1240900,00</w:t>
            </w:r>
          </w:p>
        </w:tc>
        <w:tc>
          <w:tcPr>
            <w:tcW w:w="1418" w:type="dxa"/>
          </w:tcPr>
          <w:p w:rsidR="00666422" w:rsidRPr="00EF47C5" w:rsidRDefault="00666422" w:rsidP="00AB70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1240900,00</w:t>
            </w:r>
          </w:p>
        </w:tc>
      </w:tr>
    </w:tbl>
    <w:p w:rsidR="00666422" w:rsidRDefault="00666422" w:rsidP="00666422">
      <w:pPr>
        <w:jc w:val="center"/>
      </w:pPr>
    </w:p>
    <w:p w:rsidR="00C456BB" w:rsidRDefault="00C456BB"/>
    <w:sectPr w:rsidR="00C456BB" w:rsidSect="00C161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22"/>
    <w:rsid w:val="00666422"/>
    <w:rsid w:val="006B35FC"/>
    <w:rsid w:val="00C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22"/>
    <w:pPr>
      <w:widowControl w:val="0"/>
      <w:suppressAutoHyphens/>
      <w:spacing w:after="0" w:line="240" w:lineRule="auto"/>
    </w:pPr>
    <w:rPr>
      <w:rFonts w:ascii="Arial" w:eastAsia="Lucida Sans Unicode" w:hAnsi="Arial"/>
      <w:color w:val="auto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66422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rsid w:val="006664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2018-03-23T09:48:00Z</dcterms:created>
  <dcterms:modified xsi:type="dcterms:W3CDTF">2018-03-23T09:48:00Z</dcterms:modified>
</cp:coreProperties>
</file>