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6C" w:rsidRDefault="00E56A6C" w:rsidP="00E56A6C">
      <w:pPr>
        <w:pStyle w:val="5"/>
        <w:rPr>
          <w:sz w:val="16"/>
        </w:rPr>
      </w:pPr>
      <w:r>
        <w:rPr>
          <w:sz w:val="16"/>
        </w:rPr>
        <w:t>Техническое задание</w:t>
      </w:r>
    </w:p>
    <w:p w:rsidR="00E56A6C" w:rsidRDefault="00E56A6C" w:rsidP="00E56A6C"/>
    <w:p w:rsidR="00E56A6C" w:rsidRDefault="00E56A6C" w:rsidP="00E56A6C">
      <w:pPr>
        <w:rPr>
          <w:sz w:val="16"/>
          <w:szCs w:val="16"/>
        </w:rPr>
      </w:pPr>
    </w:p>
    <w:tbl>
      <w:tblPr>
        <w:tblW w:w="10490" w:type="dxa"/>
        <w:tblInd w:w="-302" w:type="dxa"/>
        <w:tblLayout w:type="fixed"/>
        <w:tblLook w:val="0000" w:firstRow="0" w:lastRow="0" w:firstColumn="0" w:lastColumn="0" w:noHBand="0" w:noVBand="0"/>
      </w:tblPr>
      <w:tblGrid>
        <w:gridCol w:w="2390"/>
        <w:gridCol w:w="6660"/>
        <w:gridCol w:w="1440"/>
      </w:tblGrid>
      <w:tr w:rsidR="00E56A6C" w:rsidTr="00F2382E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A6C" w:rsidRDefault="00E56A6C" w:rsidP="00F2382E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Наименование изделия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A6C" w:rsidRDefault="00E56A6C" w:rsidP="00F2382E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Описание функциональных и технических характеристик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6C" w:rsidRDefault="00E56A6C" w:rsidP="00F2382E">
            <w:pPr>
              <w:tabs>
                <w:tab w:val="left" w:pos="708"/>
              </w:tabs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Количество</w:t>
            </w:r>
          </w:p>
        </w:tc>
      </w:tr>
      <w:tr w:rsidR="00E56A6C" w:rsidTr="00F2382E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A6C" w:rsidRDefault="00E56A6C" w:rsidP="00F2382E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Защитный крем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A6C" w:rsidRDefault="00E56A6C" w:rsidP="00F2382E">
            <w:pPr>
              <w:snapToGrid w:val="0"/>
              <w:rPr>
                <w:sz w:val="18"/>
              </w:rPr>
            </w:pPr>
            <w:r>
              <w:rPr>
                <w:bCs/>
                <w:sz w:val="18"/>
              </w:rPr>
              <w:t xml:space="preserve">Защитный крем </w:t>
            </w:r>
            <w:r>
              <w:rPr>
                <w:sz w:val="18"/>
              </w:rPr>
              <w:t xml:space="preserve">для кожи вокруг </w:t>
            </w:r>
            <w:proofErr w:type="spellStart"/>
            <w:r>
              <w:rPr>
                <w:sz w:val="18"/>
              </w:rPr>
              <w:t>стомы</w:t>
            </w:r>
            <w:proofErr w:type="spellEnd"/>
            <w:r>
              <w:rPr>
                <w:sz w:val="18"/>
              </w:rPr>
              <w:t xml:space="preserve"> – профилактическое и  заживляющее средство при раздражении и мацерации кожи вокруг </w:t>
            </w:r>
            <w:proofErr w:type="spellStart"/>
            <w:r>
              <w:rPr>
                <w:sz w:val="18"/>
              </w:rPr>
              <w:t>стомы</w:t>
            </w:r>
            <w:proofErr w:type="spellEnd"/>
            <w:r>
              <w:rPr>
                <w:sz w:val="18"/>
              </w:rPr>
              <w:t>, тюбик не менее 60 мл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A6C" w:rsidRDefault="00E56A6C" w:rsidP="00F238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1 060</w:t>
            </w:r>
          </w:p>
        </w:tc>
      </w:tr>
      <w:tr w:rsidR="00E56A6C" w:rsidTr="00F2382E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A6C" w:rsidRDefault="00E56A6C" w:rsidP="00F2382E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Очиститель для кожи во флаконе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A6C" w:rsidRDefault="00E56A6C" w:rsidP="00F2382E">
            <w:pPr>
              <w:snapToGrid w:val="0"/>
              <w:rPr>
                <w:sz w:val="18"/>
              </w:rPr>
            </w:pPr>
            <w:r>
              <w:rPr>
                <w:bCs/>
                <w:sz w:val="18"/>
              </w:rPr>
              <w:t xml:space="preserve">Очиститель для кожи вокруг </w:t>
            </w:r>
            <w:proofErr w:type="spellStart"/>
            <w:r>
              <w:rPr>
                <w:bCs/>
                <w:sz w:val="18"/>
              </w:rPr>
              <w:t>стомы</w:t>
            </w:r>
            <w:proofErr w:type="spellEnd"/>
            <w:r>
              <w:rPr>
                <w:bCs/>
                <w:sz w:val="18"/>
              </w:rPr>
              <w:t xml:space="preserve"> </w:t>
            </w:r>
            <w:r>
              <w:rPr>
                <w:sz w:val="18"/>
              </w:rPr>
              <w:t xml:space="preserve">очищающее средство, замещающее мыло и воду, растворители и </w:t>
            </w:r>
            <w:proofErr w:type="gramStart"/>
            <w:r>
              <w:rPr>
                <w:sz w:val="18"/>
              </w:rPr>
              <w:t>другие</w:t>
            </w:r>
            <w:proofErr w:type="gramEnd"/>
            <w:r>
              <w:rPr>
                <w:sz w:val="18"/>
              </w:rPr>
              <w:t xml:space="preserve"> агрессивные или высушивающие кожу вещества, удаляющее остатки пасты, </w:t>
            </w:r>
            <w:proofErr w:type="spellStart"/>
            <w:r>
              <w:rPr>
                <w:sz w:val="18"/>
              </w:rPr>
              <w:t>адгезивов</w:t>
            </w:r>
            <w:proofErr w:type="spellEnd"/>
            <w:r>
              <w:rPr>
                <w:sz w:val="18"/>
              </w:rPr>
              <w:t xml:space="preserve"> и других средств ухода за кожей, флакон не менее 180 мл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A6C" w:rsidRDefault="00E56A6C" w:rsidP="00F238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1 110</w:t>
            </w:r>
          </w:p>
        </w:tc>
      </w:tr>
      <w:tr w:rsidR="00E56A6C" w:rsidTr="00F2382E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A6C" w:rsidRDefault="00E56A6C" w:rsidP="00F2382E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Защитная пленка в форме салфеток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A6C" w:rsidRDefault="00E56A6C" w:rsidP="00F2382E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Защитная пленка</w:t>
            </w:r>
            <w:r>
              <w:rPr>
                <w:b/>
                <w:bCs/>
                <w:sz w:val="18"/>
              </w:rPr>
              <w:t xml:space="preserve"> - </w:t>
            </w:r>
            <w:r>
              <w:rPr>
                <w:color w:val="000000"/>
                <w:spacing w:val="-1"/>
                <w:sz w:val="18"/>
              </w:rPr>
              <w:t xml:space="preserve">это прозрачная светло-желтая жидкость, с характерным запахом, нанесенная на влажные одноразовые салфетки, находящиеся в индивидуальной упаковке. </w:t>
            </w:r>
            <w:r>
              <w:rPr>
                <w:bCs/>
                <w:sz w:val="18"/>
              </w:rPr>
              <w:t xml:space="preserve">Защитная пленка </w:t>
            </w:r>
            <w:r>
              <w:rPr>
                <w:color w:val="000000"/>
                <w:spacing w:val="-3"/>
                <w:sz w:val="18"/>
              </w:rPr>
              <w:t>предназначена</w:t>
            </w:r>
            <w:r>
              <w:rPr>
                <w:bCs/>
                <w:sz w:val="18"/>
              </w:rPr>
              <w:t xml:space="preserve"> </w:t>
            </w:r>
            <w:r>
              <w:rPr>
                <w:sz w:val="18"/>
              </w:rPr>
              <w:t>для ухода за чувствительной, травмированной или раздраженной кожей</w:t>
            </w:r>
            <w:r>
              <w:rPr>
                <w:color w:val="000000"/>
                <w:spacing w:val="-3"/>
                <w:sz w:val="18"/>
              </w:rPr>
              <w:t xml:space="preserve"> для предотвращения развития контактного дерматита и защиты кожи от механических повреждений и агрессивного воздействия мочи и кала.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A6C" w:rsidRDefault="00E56A6C" w:rsidP="00F238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16 800</w:t>
            </w:r>
          </w:p>
        </w:tc>
      </w:tr>
      <w:tr w:rsidR="00E56A6C" w:rsidTr="00F2382E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A6C" w:rsidRDefault="00E56A6C" w:rsidP="00F2382E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Защитная пленка во флаконе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A6C" w:rsidRDefault="00E56A6C" w:rsidP="00F2382E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Пленка защитная в виде спрея.  Защитная пленка изготовлена на силиконовой основе. Защитная пленка должна наноситься до момента прикрепления  адгезивного диска (пластины) и создавать защиту кожи </w:t>
            </w:r>
            <w:proofErr w:type="spellStart"/>
            <w:r>
              <w:rPr>
                <w:color w:val="000000"/>
                <w:sz w:val="18"/>
                <w:szCs w:val="22"/>
              </w:rPr>
              <w:t>вокург</w:t>
            </w:r>
            <w:proofErr w:type="spellEnd"/>
            <w:r>
              <w:rPr>
                <w:color w:val="000000"/>
                <w:sz w:val="1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22"/>
              </w:rPr>
              <w:t>стомы</w:t>
            </w:r>
            <w:proofErr w:type="spellEnd"/>
            <w:r>
              <w:rPr>
                <w:color w:val="000000"/>
                <w:sz w:val="18"/>
                <w:szCs w:val="22"/>
              </w:rPr>
              <w:t xml:space="preserve"> от агрессивного воздействия выделяемого содержимого. Средство должно быстро высыхать, образуя специальную защитную пленку. Не должно создавать дополнительных наслоений, которые могли бы помешать надежной фиксации адгезивного диска (пластины) калоприемника.</w:t>
            </w:r>
          </w:p>
          <w:p w:rsidR="00E56A6C" w:rsidRDefault="00E56A6C" w:rsidP="00F2382E">
            <w:pPr>
              <w:snapToGrid w:val="0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A6C" w:rsidRDefault="00E56A6C" w:rsidP="00F238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</w:tr>
      <w:tr w:rsidR="00E56A6C" w:rsidTr="00F2382E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A6C" w:rsidRDefault="00E56A6C" w:rsidP="00F2382E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Пудра абсорбирующая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A6C" w:rsidRDefault="00E56A6C" w:rsidP="00F2382E">
            <w:pPr>
              <w:snapToGrid w:val="0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Обладает рассыпчатой консистенцией. Порошок должен наноситься на </w:t>
            </w:r>
            <w:proofErr w:type="spellStart"/>
            <w:r>
              <w:rPr>
                <w:sz w:val="18"/>
                <w:szCs w:val="22"/>
              </w:rPr>
              <w:t>перистомальную</w:t>
            </w:r>
            <w:proofErr w:type="spellEnd"/>
            <w:r>
              <w:rPr>
                <w:sz w:val="18"/>
                <w:szCs w:val="22"/>
              </w:rPr>
              <w:t xml:space="preserve"> кожу перед наложением адгезивной пластины. Порошок должен способствовать заживлению кожи вокруг </w:t>
            </w:r>
            <w:proofErr w:type="spellStart"/>
            <w:r>
              <w:rPr>
                <w:sz w:val="18"/>
                <w:szCs w:val="22"/>
              </w:rPr>
              <w:t>стомы</w:t>
            </w:r>
            <w:proofErr w:type="spellEnd"/>
            <w:r>
              <w:rPr>
                <w:sz w:val="18"/>
                <w:szCs w:val="22"/>
              </w:rPr>
              <w:t>, а также более длительному ношению </w:t>
            </w:r>
            <w:r>
              <w:rPr>
                <w:sz w:val="18"/>
                <w:szCs w:val="22"/>
              </w:rPr>
              <w:br/>
              <w:t xml:space="preserve">калоприемника. Объем одного тюбика должен быть не менее 25 гр. Порошок (пудра) состоит из </w:t>
            </w:r>
            <w:proofErr w:type="spellStart"/>
            <w:r>
              <w:rPr>
                <w:sz w:val="18"/>
                <w:szCs w:val="22"/>
              </w:rPr>
              <w:t>гидроколлоидов</w:t>
            </w:r>
            <w:proofErr w:type="spellEnd"/>
            <w:r>
              <w:rPr>
                <w:sz w:val="18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A6C" w:rsidRDefault="00E56A6C" w:rsidP="00F238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</w:t>
            </w:r>
          </w:p>
        </w:tc>
      </w:tr>
      <w:tr w:rsidR="00E56A6C" w:rsidTr="00F2382E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A6C" w:rsidRDefault="00E56A6C" w:rsidP="00F2382E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Паста для защиты и выравнивания кожи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A6C" w:rsidRDefault="00E56A6C" w:rsidP="00F2382E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Консистенция пасты - гладкая, однородная </w:t>
            </w:r>
            <w:proofErr w:type="spellStart"/>
            <w:r>
              <w:rPr>
                <w:sz w:val="18"/>
              </w:rPr>
              <w:t>мазеподобная</w:t>
            </w:r>
            <w:proofErr w:type="spellEnd"/>
            <w:r>
              <w:rPr>
                <w:sz w:val="18"/>
              </w:rPr>
              <w:t xml:space="preserve"> масса. Паста при заполнении зазоров между </w:t>
            </w:r>
            <w:proofErr w:type="spellStart"/>
            <w:r>
              <w:rPr>
                <w:sz w:val="18"/>
              </w:rPr>
              <w:t>стомой</w:t>
            </w:r>
            <w:proofErr w:type="spellEnd"/>
            <w:r>
              <w:rPr>
                <w:sz w:val="18"/>
              </w:rPr>
              <w:t xml:space="preserve"> и пластиной должна образовывать высокоэффективный, влагонепроницаемый барьер, препятствующий затеканию содержимого под пластину. Также паста должна обладать свойством выравнивания неровностей при нанесении на </w:t>
            </w:r>
            <w:proofErr w:type="spellStart"/>
            <w:r>
              <w:rPr>
                <w:sz w:val="18"/>
              </w:rPr>
              <w:t>перистомальную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кожу</w:t>
            </w:r>
            <w:proofErr w:type="gramStart"/>
            <w:r>
              <w:rPr>
                <w:sz w:val="18"/>
              </w:rPr>
              <w:t>,ч</w:t>
            </w:r>
            <w:proofErr w:type="gramEnd"/>
            <w:r>
              <w:rPr>
                <w:sz w:val="18"/>
              </w:rPr>
              <w:t>то</w:t>
            </w:r>
            <w:proofErr w:type="spellEnd"/>
            <w:r>
              <w:rPr>
                <w:sz w:val="18"/>
              </w:rPr>
              <w:t xml:space="preserve"> делает более продолжительным период ношения калоприемника.  Объем одного тюбика должен быть не менее 60 гр. Паста должна быть сделана на основе гидроколлоидного </w:t>
            </w:r>
            <w:proofErr w:type="spellStart"/>
            <w:r>
              <w:rPr>
                <w:sz w:val="18"/>
              </w:rPr>
              <w:t>адгезива</w:t>
            </w:r>
            <w:proofErr w:type="spellEnd"/>
            <w:r>
              <w:rPr>
                <w:sz w:val="18"/>
              </w:rPr>
              <w:t xml:space="preserve">. В состав пасты входит пектин, желатин, </w:t>
            </w:r>
            <w:proofErr w:type="spellStart"/>
            <w:r>
              <w:rPr>
                <w:sz w:val="18"/>
              </w:rPr>
              <w:t>натрийкарбоксиметилцеллюлоза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A6C" w:rsidRDefault="00E56A6C" w:rsidP="00F238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</w:tr>
      <w:tr w:rsidR="00E56A6C" w:rsidTr="00F2382E">
        <w:trPr>
          <w:cantSplit/>
        </w:trPr>
        <w:tc>
          <w:tcPr>
            <w:tcW w:w="9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A6C" w:rsidRDefault="00E56A6C" w:rsidP="00F2382E">
            <w:pPr>
              <w:tabs>
                <w:tab w:val="left" w:pos="708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A6C" w:rsidRDefault="00E56A6C" w:rsidP="00F238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20 430</w:t>
            </w:r>
          </w:p>
        </w:tc>
      </w:tr>
    </w:tbl>
    <w:p w:rsidR="00E56A6C" w:rsidRDefault="00E56A6C" w:rsidP="00E56A6C">
      <w:pPr>
        <w:ind w:firstLine="540"/>
        <w:jc w:val="both"/>
        <w:rPr>
          <w:sz w:val="16"/>
          <w:szCs w:val="26"/>
        </w:rPr>
      </w:pPr>
    </w:p>
    <w:p w:rsidR="00E56A6C" w:rsidRDefault="00E56A6C" w:rsidP="00E56A6C">
      <w:pPr>
        <w:tabs>
          <w:tab w:val="left" w:pos="708"/>
        </w:tabs>
        <w:ind w:firstLine="720"/>
        <w:rPr>
          <w:sz w:val="16"/>
          <w:szCs w:val="26"/>
        </w:rPr>
      </w:pPr>
    </w:p>
    <w:p w:rsidR="00E56A6C" w:rsidRDefault="00E56A6C" w:rsidP="00E56A6C">
      <w:pPr>
        <w:autoSpaceDE w:val="0"/>
        <w:autoSpaceDN w:val="0"/>
        <w:adjustRightInd w:val="0"/>
        <w:ind w:firstLine="540"/>
        <w:jc w:val="both"/>
        <w:rPr>
          <w:sz w:val="16"/>
          <w:szCs w:val="28"/>
        </w:rPr>
      </w:pPr>
      <w:r>
        <w:rPr>
          <w:sz w:val="16"/>
        </w:rPr>
        <w:t xml:space="preserve">Поставщик предоставляет Товар непосредственно Получателю по домашнему адресу в течение 30 календарных дней </w:t>
      </w:r>
      <w:proofErr w:type="gramStart"/>
      <w:r>
        <w:rPr>
          <w:sz w:val="16"/>
        </w:rPr>
        <w:t>с даты получения</w:t>
      </w:r>
      <w:proofErr w:type="gramEnd"/>
      <w:r>
        <w:rPr>
          <w:sz w:val="16"/>
        </w:rPr>
        <w:t xml:space="preserve"> Поставщиком реестра нуждающихся от Заказчика.</w:t>
      </w:r>
      <w:r>
        <w:rPr>
          <w:sz w:val="16"/>
          <w:szCs w:val="28"/>
        </w:rPr>
        <w:t xml:space="preserve"> Реестры направляются Поставщику </w:t>
      </w:r>
      <w:proofErr w:type="gramStart"/>
      <w:r>
        <w:rPr>
          <w:sz w:val="16"/>
          <w:szCs w:val="28"/>
        </w:rPr>
        <w:t>в течение действия государственного контракта</w:t>
      </w:r>
      <w:proofErr w:type="gramEnd"/>
      <w:r>
        <w:rPr>
          <w:sz w:val="16"/>
          <w:szCs w:val="28"/>
        </w:rPr>
        <w:t xml:space="preserve"> по мере поступления заявок от инвалидов. Срок поставки Товара по последнему переданному реестру инвалидов – </w:t>
      </w:r>
      <w:r>
        <w:rPr>
          <w:sz w:val="16"/>
          <w:szCs w:val="16"/>
        </w:rPr>
        <w:t>не позднее «15»ноября 2018 года</w:t>
      </w:r>
      <w:r>
        <w:rPr>
          <w:sz w:val="16"/>
          <w:szCs w:val="28"/>
        </w:rPr>
        <w:t>.</w:t>
      </w:r>
    </w:p>
    <w:p w:rsidR="00E56A6C" w:rsidRDefault="00E56A6C" w:rsidP="00E56A6C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16"/>
        </w:rPr>
        <w:t xml:space="preserve">Предоставление Поставщиком  документов на оплату – </w:t>
      </w:r>
      <w:r>
        <w:rPr>
          <w:sz w:val="16"/>
          <w:szCs w:val="16"/>
        </w:rPr>
        <w:t>до 20.11.2018</w:t>
      </w:r>
      <w:r>
        <w:rPr>
          <w:sz w:val="16"/>
        </w:rPr>
        <w:t>.</w:t>
      </w:r>
    </w:p>
    <w:p w:rsidR="00E56A6C" w:rsidRDefault="00E56A6C" w:rsidP="00E56A6C">
      <w:pPr>
        <w:autoSpaceDE w:val="0"/>
        <w:autoSpaceDN w:val="0"/>
        <w:adjustRightInd w:val="0"/>
        <w:ind w:firstLine="540"/>
        <w:jc w:val="both"/>
        <w:rPr>
          <w:sz w:val="16"/>
        </w:rPr>
      </w:pPr>
    </w:p>
    <w:p w:rsidR="00E56A6C" w:rsidRDefault="00E56A6C" w:rsidP="00E56A6C">
      <w:pPr>
        <w:ind w:firstLine="567"/>
        <w:rPr>
          <w:sz w:val="16"/>
          <w:szCs w:val="16"/>
        </w:rPr>
      </w:pPr>
      <w:r>
        <w:rPr>
          <w:sz w:val="16"/>
          <w:szCs w:val="28"/>
        </w:rPr>
        <w:t xml:space="preserve">Срок годности средств по уходу за </w:t>
      </w:r>
      <w:proofErr w:type="spellStart"/>
      <w:r>
        <w:rPr>
          <w:sz w:val="16"/>
          <w:szCs w:val="28"/>
        </w:rPr>
        <w:t>стомой</w:t>
      </w:r>
      <w:proofErr w:type="spellEnd"/>
      <w:r>
        <w:rPr>
          <w:sz w:val="16"/>
          <w:szCs w:val="28"/>
        </w:rPr>
        <w:t xml:space="preserve"> не менее – 1 месяца.</w:t>
      </w:r>
    </w:p>
    <w:p w:rsidR="00BC1357" w:rsidRDefault="00BC1357"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6C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2668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E09DB"/>
    <w:rsid w:val="001E1769"/>
    <w:rsid w:val="001E3A55"/>
    <w:rsid w:val="001E4C53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E1C"/>
    <w:rsid w:val="003A543B"/>
    <w:rsid w:val="003A6E2F"/>
    <w:rsid w:val="003B0BF2"/>
    <w:rsid w:val="003B1F54"/>
    <w:rsid w:val="003B3DDC"/>
    <w:rsid w:val="003B65EA"/>
    <w:rsid w:val="003C0674"/>
    <w:rsid w:val="003D04C0"/>
    <w:rsid w:val="003D10C3"/>
    <w:rsid w:val="003D1EE5"/>
    <w:rsid w:val="003D3890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40039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663C"/>
    <w:rsid w:val="0055624E"/>
    <w:rsid w:val="005567AC"/>
    <w:rsid w:val="00557E6B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5F77F6"/>
    <w:rsid w:val="00600CF3"/>
    <w:rsid w:val="0060237B"/>
    <w:rsid w:val="00604C9D"/>
    <w:rsid w:val="00606598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9002F"/>
    <w:rsid w:val="006928F7"/>
    <w:rsid w:val="0069335B"/>
    <w:rsid w:val="00694734"/>
    <w:rsid w:val="006A09A9"/>
    <w:rsid w:val="006A2651"/>
    <w:rsid w:val="006A453E"/>
    <w:rsid w:val="006A4AA7"/>
    <w:rsid w:val="006B0967"/>
    <w:rsid w:val="006B373A"/>
    <w:rsid w:val="006B40EF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7A6C"/>
    <w:rsid w:val="00787B26"/>
    <w:rsid w:val="0079214F"/>
    <w:rsid w:val="007923D7"/>
    <w:rsid w:val="007A46B1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2B67"/>
    <w:rsid w:val="00913073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5F6C"/>
    <w:rsid w:val="00A24300"/>
    <w:rsid w:val="00A27F24"/>
    <w:rsid w:val="00A31375"/>
    <w:rsid w:val="00A33866"/>
    <w:rsid w:val="00A40BE1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4293A"/>
    <w:rsid w:val="00B50A51"/>
    <w:rsid w:val="00B5729E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699B"/>
    <w:rsid w:val="00C42626"/>
    <w:rsid w:val="00C436D7"/>
    <w:rsid w:val="00C47290"/>
    <w:rsid w:val="00C5379F"/>
    <w:rsid w:val="00C54C36"/>
    <w:rsid w:val="00C5644D"/>
    <w:rsid w:val="00C571D5"/>
    <w:rsid w:val="00C57CBA"/>
    <w:rsid w:val="00C57D08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3B24"/>
    <w:rsid w:val="00DD53D2"/>
    <w:rsid w:val="00DE058D"/>
    <w:rsid w:val="00DE0740"/>
    <w:rsid w:val="00DE155E"/>
    <w:rsid w:val="00DE29D6"/>
    <w:rsid w:val="00DE35A3"/>
    <w:rsid w:val="00DE71AC"/>
    <w:rsid w:val="00DF1E68"/>
    <w:rsid w:val="00DF20F1"/>
    <w:rsid w:val="00DF686E"/>
    <w:rsid w:val="00DF6BC8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6A6C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774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31B3"/>
    <w:rsid w:val="00F559C9"/>
    <w:rsid w:val="00F572B9"/>
    <w:rsid w:val="00F57385"/>
    <w:rsid w:val="00F60A9E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56A6C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56A6C"/>
    <w:rPr>
      <w:rFonts w:ascii="Times New Roman" w:eastAsia="Times New Roman" w:hAnsi="Times New Roman" w:cs="Times New Roman"/>
      <w:b/>
      <w:bCs/>
      <w:sz w:val="20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56A6C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56A6C"/>
    <w:rPr>
      <w:rFonts w:ascii="Times New Roman" w:eastAsia="Times New Roman" w:hAnsi="Times New Roman" w:cs="Times New Roman"/>
      <w:b/>
      <w:bCs/>
      <w:sz w:val="20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2018-04-06T04:19:00Z</dcterms:created>
  <dcterms:modified xsi:type="dcterms:W3CDTF">2018-04-06T04:20:00Z</dcterms:modified>
</cp:coreProperties>
</file>