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38" w:rsidRDefault="00666438" w:rsidP="00666438">
      <w:pPr>
        <w:suppressAutoHyphens w:val="0"/>
        <w:jc w:val="center"/>
        <w:rPr>
          <w:b/>
        </w:rPr>
      </w:pPr>
      <w:r w:rsidRPr="00D754AA">
        <w:rPr>
          <w:b/>
        </w:rPr>
        <w:t>Описание объекта закупки.</w:t>
      </w:r>
    </w:p>
    <w:p w:rsidR="00666438" w:rsidRPr="00F66508" w:rsidRDefault="003A164D" w:rsidP="00666438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Поставка детям-инвалидам подгузников</w:t>
      </w:r>
      <w:r w:rsidR="00666438" w:rsidRPr="0066643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66438" w:rsidRPr="00F66508" w:rsidRDefault="00666438" w:rsidP="00666438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665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объёмам и срокам (периодам) поставки</w:t>
      </w:r>
    </w:p>
    <w:p w:rsidR="00666438" w:rsidRPr="006633F2" w:rsidRDefault="00666438" w:rsidP="00666438">
      <w:pPr>
        <w:ind w:firstLine="709"/>
        <w:jc w:val="both"/>
      </w:pPr>
      <w:proofErr w:type="gramStart"/>
      <w:r w:rsidRPr="004B0A25">
        <w:t xml:space="preserve">Поставить одновременно все количество </w:t>
      </w:r>
      <w:r>
        <w:t>Товара</w:t>
      </w:r>
      <w:r w:rsidRPr="004B0A25">
        <w:t xml:space="preserve"> (в соответствии с Описанием объекта закупки) на территорию </w:t>
      </w:r>
      <w:r w:rsidRPr="004B0A25">
        <w:rPr>
          <w:szCs w:val="23"/>
        </w:rPr>
        <w:t xml:space="preserve">Ростовской области, Республики Крым </w:t>
      </w:r>
      <w:r w:rsidRPr="006633F2">
        <w:rPr>
          <w:szCs w:val="23"/>
        </w:rPr>
        <w:t xml:space="preserve">и г. Севастополя в соответствии с Таблицей №1 </w:t>
      </w:r>
      <w:r w:rsidRPr="006633F2">
        <w:t xml:space="preserve">на склад Поставщика </w:t>
      </w:r>
      <w:r w:rsidRPr="006633F2">
        <w:rPr>
          <w:sz w:val="23"/>
          <w:szCs w:val="23"/>
        </w:rPr>
        <w:t>или иное помещение, находящееся в его распоряжении или собственности</w:t>
      </w:r>
      <w:r w:rsidRPr="006633F2">
        <w:t>, в течение</w:t>
      </w:r>
      <w:r w:rsidRPr="00666438">
        <w:t xml:space="preserve"> </w:t>
      </w:r>
      <w:r w:rsidR="001E618B">
        <w:t>12 (двенадцати)</w:t>
      </w:r>
      <w:r w:rsidRPr="00666438">
        <w:t xml:space="preserve"> рабочих дней </w:t>
      </w:r>
      <w:r w:rsidRPr="006633F2">
        <w:t xml:space="preserve">с даты заключения Государственного контракта для осуществления проверки качества </w:t>
      </w:r>
      <w:r>
        <w:t>Товара</w:t>
      </w:r>
      <w:r w:rsidRPr="006633F2">
        <w:t>.</w:t>
      </w:r>
      <w:proofErr w:type="gramEnd"/>
    </w:p>
    <w:p w:rsidR="00666438" w:rsidRPr="004B0A25" w:rsidRDefault="00666438" w:rsidP="00666438">
      <w:pPr>
        <w:ind w:firstLine="709"/>
        <w:jc w:val="both"/>
      </w:pPr>
      <w:r w:rsidRPr="004B0A25">
        <w:t xml:space="preserve">В течение двух рабочих дней, после поставки всего объема </w:t>
      </w:r>
      <w:r>
        <w:t>Товара</w:t>
      </w:r>
      <w:r w:rsidRPr="004B0A25">
        <w:t xml:space="preserve">, Поставщик обязан уведомить об этом Заказчика в письменной форме (в том числе посредством факсимильной связи), пригласить Заказчика для проверки </w:t>
      </w:r>
      <w:r>
        <w:t>Товара</w:t>
      </w:r>
      <w:r w:rsidRPr="004B0A25">
        <w:t xml:space="preserve">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</w:t>
      </w:r>
    </w:p>
    <w:p w:rsidR="00666438" w:rsidRPr="004B0A25" w:rsidRDefault="00666438" w:rsidP="00666438">
      <w:pPr>
        <w:pStyle w:val="a5"/>
        <w:widowControl/>
        <w:autoSpaceDE/>
        <w:rPr>
          <w:szCs w:val="23"/>
        </w:rPr>
      </w:pPr>
      <w:r w:rsidRPr="004B0A25">
        <w:rPr>
          <w:szCs w:val="23"/>
        </w:rPr>
        <w:t xml:space="preserve">Отсутствие полного количества </w:t>
      </w:r>
      <w:r w:rsidR="002064CC">
        <w:rPr>
          <w:szCs w:val="23"/>
        </w:rPr>
        <w:t>Товара</w:t>
      </w:r>
      <w:r w:rsidRPr="004B0A25">
        <w:rPr>
          <w:szCs w:val="23"/>
        </w:rPr>
        <w:t xml:space="preserve"> на момент проверки и несоответствие Описанию объекта закупки считается существенным нарушением условий контракта.</w:t>
      </w:r>
    </w:p>
    <w:p w:rsidR="00666438" w:rsidRPr="00F16050" w:rsidRDefault="00666438" w:rsidP="00666438">
      <w:pPr>
        <w:suppressAutoHyphens w:val="0"/>
        <w:jc w:val="right"/>
        <w:rPr>
          <w:b/>
        </w:rPr>
      </w:pPr>
      <w:r w:rsidRPr="00F16050">
        <w:rPr>
          <w:b/>
        </w:rPr>
        <w:t>Таблица №1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993"/>
        <w:gridCol w:w="850"/>
        <w:gridCol w:w="709"/>
        <w:gridCol w:w="1275"/>
      </w:tblGrid>
      <w:tr w:rsidR="00666438" w:rsidRPr="00405783" w:rsidTr="00B02F10">
        <w:tc>
          <w:tcPr>
            <w:tcW w:w="993" w:type="dxa"/>
            <w:vAlign w:val="center"/>
          </w:tcPr>
          <w:p w:rsidR="00666438" w:rsidRPr="00F16050" w:rsidRDefault="00666438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Наименование</w:t>
            </w:r>
          </w:p>
          <w:p w:rsidR="00666438" w:rsidRPr="00F16050" w:rsidRDefault="00666438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Товара</w:t>
            </w:r>
          </w:p>
        </w:tc>
        <w:tc>
          <w:tcPr>
            <w:tcW w:w="4677" w:type="dxa"/>
            <w:vAlign w:val="center"/>
          </w:tcPr>
          <w:p w:rsidR="00666438" w:rsidRPr="00F16050" w:rsidRDefault="00666438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993" w:type="dxa"/>
            <w:vAlign w:val="center"/>
          </w:tcPr>
          <w:p w:rsidR="00666438" w:rsidRPr="00F16050" w:rsidRDefault="00666438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850" w:type="dxa"/>
            <w:vAlign w:val="center"/>
          </w:tcPr>
          <w:p w:rsidR="00666438" w:rsidRPr="00F16050" w:rsidRDefault="00666438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Кол-во (шт.)</w:t>
            </w:r>
          </w:p>
        </w:tc>
        <w:tc>
          <w:tcPr>
            <w:tcW w:w="709" w:type="dxa"/>
            <w:vAlign w:val="center"/>
          </w:tcPr>
          <w:p w:rsidR="00666438" w:rsidRPr="00F16050" w:rsidRDefault="00666438" w:rsidP="00DA0E10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Цена</w:t>
            </w:r>
          </w:p>
          <w:p w:rsidR="00666438" w:rsidRPr="00F16050" w:rsidRDefault="00666438" w:rsidP="00DA0E10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за ед.</w:t>
            </w:r>
          </w:p>
          <w:p w:rsidR="00666438" w:rsidRPr="00F16050" w:rsidRDefault="00666438" w:rsidP="00DA0E10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(руб.)</w:t>
            </w:r>
          </w:p>
        </w:tc>
        <w:tc>
          <w:tcPr>
            <w:tcW w:w="1275" w:type="dxa"/>
            <w:vAlign w:val="center"/>
          </w:tcPr>
          <w:p w:rsidR="00666438" w:rsidRPr="00F16050" w:rsidRDefault="00666438" w:rsidP="00DA0E10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Суммарная стоимость</w:t>
            </w:r>
          </w:p>
          <w:p w:rsidR="00666438" w:rsidRPr="00F16050" w:rsidRDefault="00666438" w:rsidP="00DA0E10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(руб.)</w:t>
            </w:r>
          </w:p>
        </w:tc>
      </w:tr>
      <w:tr w:rsidR="00666438" w:rsidRPr="00405783" w:rsidTr="00B02F10">
        <w:trPr>
          <w:trHeight w:val="2789"/>
        </w:trPr>
        <w:tc>
          <w:tcPr>
            <w:tcW w:w="993" w:type="dxa"/>
            <w:vMerge w:val="restart"/>
            <w:vAlign w:val="center"/>
          </w:tcPr>
          <w:p w:rsidR="00666438" w:rsidRPr="00666438" w:rsidRDefault="00666438" w:rsidP="00666438">
            <w:pPr>
              <w:widowControl w:val="0"/>
              <w:snapToGrid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666438">
              <w:rPr>
                <w:b/>
                <w:sz w:val="18"/>
                <w:szCs w:val="18"/>
                <w:lang w:eastAsia="ru-RU"/>
              </w:rPr>
              <w:t>Подгузники для детей весом до 9 кг</w:t>
            </w:r>
          </w:p>
        </w:tc>
        <w:tc>
          <w:tcPr>
            <w:tcW w:w="4677" w:type="dxa"/>
            <w:vMerge w:val="restart"/>
          </w:tcPr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 xml:space="preserve">товарную марку (при наличии), обозначение размера </w:t>
            </w:r>
            <w:r w:rsidR="00B20C4B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или номера (при наличии);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обозначение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r w:rsidR="00B20C4B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="00B20C4B">
              <w:rPr>
                <w:rFonts w:eastAsia="Microsoft YaHei"/>
                <w:sz w:val="18"/>
                <w:szCs w:val="18"/>
                <w:lang w:eastAsia="ru-RU"/>
              </w:rPr>
              <w:t>товаав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 w:rsidR="00B20C4B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66438" w:rsidRPr="00FE1D61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Р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666438" w:rsidRPr="00405783" w:rsidRDefault="00666438" w:rsidP="002064C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eastAsia="Microsoft YaHei"/>
                <w:color w:val="FF0000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666438" w:rsidRPr="002064CC" w:rsidRDefault="00666438" w:rsidP="00B16837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 w:val="18"/>
                <w:szCs w:val="18"/>
              </w:rPr>
            </w:pPr>
            <w:r w:rsidRPr="002064CC">
              <w:rPr>
                <w:rFonts w:eastAsia="Arial"/>
                <w:kern w:val="2"/>
                <w:sz w:val="18"/>
                <w:szCs w:val="18"/>
              </w:rPr>
              <w:t xml:space="preserve">Передать </w:t>
            </w:r>
            <w:r w:rsidR="00B16837">
              <w:rPr>
                <w:rFonts w:eastAsia="Arial"/>
                <w:kern w:val="2"/>
                <w:sz w:val="18"/>
                <w:szCs w:val="18"/>
              </w:rPr>
              <w:t>Товар</w:t>
            </w:r>
            <w:r w:rsidRPr="002064CC">
              <w:rPr>
                <w:rFonts w:eastAsia="Arial"/>
                <w:kern w:val="2"/>
                <w:sz w:val="18"/>
                <w:szCs w:val="18"/>
              </w:rPr>
              <w:t xml:space="preserve"> Получателям </w:t>
            </w:r>
            <w:r w:rsidRPr="002064CC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не позднее </w:t>
            </w:r>
            <w:r w:rsidR="002064CC">
              <w:rPr>
                <w:rFonts w:eastAsia="Arial"/>
                <w:sz w:val="18"/>
                <w:szCs w:val="18"/>
              </w:rPr>
              <w:t>04</w:t>
            </w:r>
            <w:r w:rsidRPr="002064CC">
              <w:rPr>
                <w:rFonts w:eastAsia="Arial"/>
                <w:sz w:val="18"/>
                <w:szCs w:val="18"/>
              </w:rPr>
              <w:t>.1</w:t>
            </w:r>
            <w:r w:rsidR="002064CC">
              <w:rPr>
                <w:rFonts w:eastAsia="Arial"/>
                <w:sz w:val="18"/>
                <w:szCs w:val="18"/>
              </w:rPr>
              <w:t>2</w:t>
            </w:r>
            <w:r w:rsidRPr="002064CC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993" w:type="dxa"/>
          </w:tcPr>
          <w:p w:rsidR="00666438" w:rsidRPr="004B0A25" w:rsidRDefault="00666438" w:rsidP="00DA0E10">
            <w:pPr>
              <w:widowControl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666438" w:rsidRPr="00040D9C" w:rsidRDefault="00376D6A" w:rsidP="00376D6A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1 960</w:t>
            </w:r>
          </w:p>
        </w:tc>
        <w:tc>
          <w:tcPr>
            <w:tcW w:w="709" w:type="dxa"/>
            <w:vAlign w:val="center"/>
          </w:tcPr>
          <w:p w:rsidR="00666438" w:rsidRPr="00040D9C" w:rsidRDefault="00666438" w:rsidP="00376D6A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040D9C">
              <w:rPr>
                <w:sz w:val="18"/>
                <w:szCs w:val="18"/>
                <w:lang w:eastAsia="ru-RU"/>
              </w:rPr>
              <w:t>13,7</w:t>
            </w:r>
            <w:r w:rsidR="00376D6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666438" w:rsidRPr="00040D9C" w:rsidRDefault="00376D6A" w:rsidP="00376D6A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26 930,40</w:t>
            </w:r>
          </w:p>
        </w:tc>
      </w:tr>
      <w:tr w:rsidR="00666438" w:rsidRPr="00405783" w:rsidTr="00B02F10">
        <w:trPr>
          <w:trHeight w:val="3241"/>
        </w:trPr>
        <w:tc>
          <w:tcPr>
            <w:tcW w:w="993" w:type="dxa"/>
            <w:vMerge/>
          </w:tcPr>
          <w:p w:rsidR="00666438" w:rsidRPr="004B0A25" w:rsidRDefault="00666438" w:rsidP="00DA0E10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666438" w:rsidRPr="00405783" w:rsidRDefault="00666438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</w:tcPr>
          <w:p w:rsidR="00666438" w:rsidRPr="004B0A25" w:rsidRDefault="00666438" w:rsidP="00DA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666438" w:rsidRPr="002B3312" w:rsidRDefault="00666438" w:rsidP="00FF3756">
            <w:pPr>
              <w:jc w:val="center"/>
              <w:rPr>
                <w:sz w:val="18"/>
                <w:szCs w:val="18"/>
              </w:rPr>
            </w:pPr>
            <w:r w:rsidRPr="002B3312">
              <w:rPr>
                <w:sz w:val="18"/>
                <w:szCs w:val="18"/>
              </w:rPr>
              <w:t>1 080</w:t>
            </w:r>
          </w:p>
        </w:tc>
        <w:tc>
          <w:tcPr>
            <w:tcW w:w="709" w:type="dxa"/>
            <w:vAlign w:val="center"/>
          </w:tcPr>
          <w:p w:rsidR="00666438" w:rsidRPr="002B3312" w:rsidRDefault="00666438" w:rsidP="00FF3756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2B3312">
              <w:rPr>
                <w:sz w:val="18"/>
                <w:szCs w:val="18"/>
              </w:rPr>
              <w:t>9,61</w:t>
            </w:r>
          </w:p>
        </w:tc>
        <w:tc>
          <w:tcPr>
            <w:tcW w:w="1275" w:type="dxa"/>
            <w:vAlign w:val="center"/>
          </w:tcPr>
          <w:p w:rsidR="00666438" w:rsidRPr="002B3312" w:rsidRDefault="00666438" w:rsidP="00FF3756">
            <w:pPr>
              <w:jc w:val="center"/>
              <w:rPr>
                <w:sz w:val="18"/>
                <w:szCs w:val="18"/>
              </w:rPr>
            </w:pPr>
            <w:r w:rsidRPr="002B3312">
              <w:rPr>
                <w:sz w:val="18"/>
                <w:szCs w:val="18"/>
              </w:rPr>
              <w:t>10 378,80</w:t>
            </w:r>
          </w:p>
        </w:tc>
      </w:tr>
      <w:tr w:rsidR="00666438" w:rsidRPr="00405783" w:rsidTr="00AE369D">
        <w:trPr>
          <w:trHeight w:val="2428"/>
        </w:trPr>
        <w:tc>
          <w:tcPr>
            <w:tcW w:w="993" w:type="dxa"/>
            <w:vMerge/>
          </w:tcPr>
          <w:p w:rsidR="00666438" w:rsidRPr="004B0A25" w:rsidRDefault="00666438" w:rsidP="00DA0E10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666438" w:rsidRPr="00405783" w:rsidRDefault="00666438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6438" w:rsidRPr="004B0A25" w:rsidRDefault="00666438" w:rsidP="00AE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438" w:rsidRPr="00FF657A" w:rsidRDefault="00666438" w:rsidP="00B02F10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FF657A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438" w:rsidRPr="00FF657A" w:rsidRDefault="00666438" w:rsidP="00B02F10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FF657A">
              <w:rPr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6438" w:rsidRPr="00FF657A" w:rsidRDefault="00666438" w:rsidP="00B02F10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FF657A">
              <w:rPr>
                <w:sz w:val="20"/>
                <w:szCs w:val="20"/>
                <w:lang w:eastAsia="ru-RU"/>
              </w:rPr>
              <w:t>413,70</w:t>
            </w:r>
          </w:p>
        </w:tc>
      </w:tr>
      <w:tr w:rsidR="00666438" w:rsidRPr="00405783" w:rsidTr="00B02F10">
        <w:tc>
          <w:tcPr>
            <w:tcW w:w="993" w:type="dxa"/>
            <w:vMerge w:val="restart"/>
            <w:vAlign w:val="center"/>
          </w:tcPr>
          <w:p w:rsidR="00666438" w:rsidRPr="00B16837" w:rsidRDefault="00666438" w:rsidP="00B16837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B16837">
              <w:rPr>
                <w:b/>
                <w:sz w:val="18"/>
                <w:szCs w:val="18"/>
                <w:lang w:eastAsia="ru-RU"/>
              </w:rPr>
              <w:lastRenderedPageBreak/>
              <w:t>Подгузники для детей весом до 20 кг</w:t>
            </w:r>
          </w:p>
        </w:tc>
        <w:tc>
          <w:tcPr>
            <w:tcW w:w="4677" w:type="dxa"/>
            <w:vMerge w:val="restart"/>
          </w:tcPr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быть чётким без искажений и пробелов. Не допускаются следы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 w:rsidR="004834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номера (при наличии);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обозначение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впитываемости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834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страну-изготовителя;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техническим исполнением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артикула (при наличии);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 w:rsidR="004834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упаковке;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годности;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штриховой код </w:t>
            </w:r>
            <w:r w:rsidR="0048345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52557-2011 "Подгузники детские бумажные. Общие технические условия".</w:t>
            </w:r>
          </w:p>
          <w:p w:rsidR="00666438" w:rsidRPr="00FE1D61" w:rsidRDefault="00666438" w:rsidP="00DA0E10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Место, условия и сроки (периоды) поставки подгузников детских:</w:t>
            </w:r>
          </w:p>
          <w:p w:rsidR="00666438" w:rsidRPr="00405783" w:rsidRDefault="00955DF1" w:rsidP="00DA0E10">
            <w:pPr>
              <w:pStyle w:val="ConsPlusNonformat"/>
              <w:rPr>
                <w:color w:val="FF0000"/>
                <w:sz w:val="18"/>
                <w:szCs w:val="18"/>
              </w:rPr>
            </w:pPr>
            <w:r w:rsidRPr="00955D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993" w:type="dxa"/>
          </w:tcPr>
          <w:p w:rsidR="00666438" w:rsidRPr="004B0A25" w:rsidRDefault="00666438" w:rsidP="00DA0E10">
            <w:pPr>
              <w:widowControl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666438" w:rsidRPr="005F0BAA" w:rsidRDefault="00B02F10" w:rsidP="00B02F10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56 560</w:t>
            </w:r>
          </w:p>
        </w:tc>
        <w:tc>
          <w:tcPr>
            <w:tcW w:w="709" w:type="dxa"/>
            <w:vAlign w:val="center"/>
          </w:tcPr>
          <w:p w:rsidR="00666438" w:rsidRPr="005F0BAA" w:rsidRDefault="00B02F10" w:rsidP="00B02F10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12,69</w:t>
            </w:r>
          </w:p>
        </w:tc>
        <w:tc>
          <w:tcPr>
            <w:tcW w:w="1275" w:type="dxa"/>
            <w:vAlign w:val="center"/>
          </w:tcPr>
          <w:p w:rsidR="00666438" w:rsidRPr="005F0BAA" w:rsidRDefault="00B02F10" w:rsidP="00B02F10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717 746,40</w:t>
            </w:r>
          </w:p>
        </w:tc>
      </w:tr>
      <w:tr w:rsidR="00666438" w:rsidRPr="00405783" w:rsidTr="00EF77CF">
        <w:tc>
          <w:tcPr>
            <w:tcW w:w="993" w:type="dxa"/>
            <w:vMerge/>
          </w:tcPr>
          <w:p w:rsidR="00666438" w:rsidRPr="004B0A25" w:rsidRDefault="00666438" w:rsidP="00DA0E10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666438" w:rsidRPr="00405783" w:rsidRDefault="00666438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</w:tcPr>
          <w:p w:rsidR="00666438" w:rsidRPr="004B0A25" w:rsidRDefault="00666438" w:rsidP="00DA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t xml:space="preserve">Государственное учреждение – региональное отделение Фонда </w:t>
            </w:r>
            <w:r w:rsidRPr="004B0A25">
              <w:rPr>
                <w:sz w:val="20"/>
                <w:szCs w:val="20"/>
              </w:rPr>
              <w:lastRenderedPageBreak/>
              <w:t>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666438" w:rsidRPr="005F0BAA" w:rsidRDefault="00EF77CF" w:rsidP="00EF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22 000</w:t>
            </w:r>
          </w:p>
        </w:tc>
        <w:tc>
          <w:tcPr>
            <w:tcW w:w="709" w:type="dxa"/>
            <w:vAlign w:val="center"/>
          </w:tcPr>
          <w:p w:rsidR="00666438" w:rsidRPr="005F0BAA" w:rsidRDefault="00666438" w:rsidP="00EF77CF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5F0BAA">
              <w:rPr>
                <w:sz w:val="18"/>
                <w:szCs w:val="18"/>
              </w:rPr>
              <w:t>17,41</w:t>
            </w:r>
          </w:p>
        </w:tc>
        <w:tc>
          <w:tcPr>
            <w:tcW w:w="1275" w:type="dxa"/>
            <w:vAlign w:val="center"/>
          </w:tcPr>
          <w:p w:rsidR="00666438" w:rsidRPr="005F0BAA" w:rsidRDefault="00EF77CF" w:rsidP="00EF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383 020,00</w:t>
            </w:r>
          </w:p>
        </w:tc>
      </w:tr>
      <w:tr w:rsidR="00666438" w:rsidRPr="00405783" w:rsidTr="00AE369D">
        <w:trPr>
          <w:trHeight w:val="2477"/>
        </w:trPr>
        <w:tc>
          <w:tcPr>
            <w:tcW w:w="993" w:type="dxa"/>
            <w:vMerge/>
          </w:tcPr>
          <w:p w:rsidR="00666438" w:rsidRPr="004B0A25" w:rsidRDefault="00666438" w:rsidP="00DA0E10">
            <w:pPr>
              <w:widowControl w:val="0"/>
              <w:jc w:val="center"/>
              <w:rPr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666438" w:rsidRPr="00405783" w:rsidRDefault="00666438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6438" w:rsidRPr="004B0A25" w:rsidRDefault="00666438" w:rsidP="00AE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666438" w:rsidRPr="00F65E3C" w:rsidRDefault="00666438" w:rsidP="00F717D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65E3C">
              <w:rPr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709" w:type="dxa"/>
            <w:vAlign w:val="center"/>
          </w:tcPr>
          <w:p w:rsidR="00666438" w:rsidRPr="00F65E3C" w:rsidRDefault="00666438" w:rsidP="00F717D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65E3C">
              <w:rPr>
                <w:sz w:val="20"/>
                <w:szCs w:val="20"/>
                <w:lang w:eastAsia="ru-RU"/>
              </w:rPr>
              <w:t>20,89</w:t>
            </w:r>
          </w:p>
        </w:tc>
        <w:tc>
          <w:tcPr>
            <w:tcW w:w="1275" w:type="dxa"/>
            <w:vAlign w:val="center"/>
          </w:tcPr>
          <w:p w:rsidR="00666438" w:rsidRPr="00F65E3C" w:rsidRDefault="00666438" w:rsidP="00F717D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F65E3C">
              <w:rPr>
                <w:sz w:val="20"/>
                <w:szCs w:val="20"/>
                <w:lang w:eastAsia="ru-RU"/>
              </w:rPr>
              <w:t>202 633,00</w:t>
            </w:r>
          </w:p>
        </w:tc>
      </w:tr>
      <w:tr w:rsidR="00666438" w:rsidRPr="00405783" w:rsidTr="00A31F3D">
        <w:tc>
          <w:tcPr>
            <w:tcW w:w="993" w:type="dxa"/>
            <w:vMerge w:val="restart"/>
            <w:vAlign w:val="center"/>
          </w:tcPr>
          <w:p w:rsidR="00666438" w:rsidRPr="000A39EE" w:rsidRDefault="00666438" w:rsidP="000A39EE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0A39EE">
              <w:rPr>
                <w:b/>
                <w:sz w:val="18"/>
                <w:szCs w:val="18"/>
                <w:lang w:eastAsia="ru-RU"/>
              </w:rPr>
              <w:t>Подгузники для детей весом свыше 20 кг</w:t>
            </w:r>
          </w:p>
        </w:tc>
        <w:tc>
          <w:tcPr>
            <w:tcW w:w="4677" w:type="dxa"/>
            <w:vMerge w:val="restart"/>
          </w:tcPr>
          <w:p w:rsidR="00666438" w:rsidRPr="00FE1D61" w:rsidRDefault="000A39EE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0A39EE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, превращающим влагу в гель. Подгузники детские должны быть оснащены водонепроницаемыми 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 w:rsidR="00483458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или номера (при наличии)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;о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бозначение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r w:rsidR="00483458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r w:rsidR="00483458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 w:rsidR="00483458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Р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666438" w:rsidRPr="00FE1D61" w:rsidRDefault="00666438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666438" w:rsidRPr="000A39EE" w:rsidRDefault="00955DF1" w:rsidP="00DA0E10">
            <w:pPr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 w:val="18"/>
                <w:szCs w:val="18"/>
              </w:rPr>
            </w:pPr>
            <w:r w:rsidRPr="000A39EE">
              <w:rPr>
                <w:rFonts w:eastAsia="Arial"/>
                <w:kern w:val="2"/>
                <w:sz w:val="18"/>
                <w:szCs w:val="18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993" w:type="dxa"/>
          </w:tcPr>
          <w:p w:rsidR="00666438" w:rsidRPr="004B0A25" w:rsidRDefault="00666438" w:rsidP="00DA0E10">
            <w:pPr>
              <w:widowControl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666438" w:rsidRPr="00D36E12" w:rsidRDefault="00117AC9" w:rsidP="00A31F3D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56 890</w:t>
            </w:r>
          </w:p>
        </w:tc>
        <w:tc>
          <w:tcPr>
            <w:tcW w:w="709" w:type="dxa"/>
            <w:vAlign w:val="center"/>
          </w:tcPr>
          <w:p w:rsidR="00666438" w:rsidRPr="00D36E12" w:rsidRDefault="00666438" w:rsidP="00117AC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D36E12">
              <w:rPr>
                <w:sz w:val="18"/>
                <w:szCs w:val="18"/>
                <w:lang w:eastAsia="ru-RU"/>
              </w:rPr>
              <w:t>17,1</w:t>
            </w:r>
            <w:r w:rsidR="00117AC9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66438" w:rsidRPr="00D36E12" w:rsidRDefault="00117AC9" w:rsidP="00A31F3D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972 819,00</w:t>
            </w:r>
          </w:p>
        </w:tc>
      </w:tr>
      <w:tr w:rsidR="00666438" w:rsidRPr="00405783" w:rsidTr="007E5D4F">
        <w:tc>
          <w:tcPr>
            <w:tcW w:w="993" w:type="dxa"/>
            <w:vMerge/>
          </w:tcPr>
          <w:p w:rsidR="00666438" w:rsidRPr="00405783" w:rsidRDefault="00666438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666438" w:rsidRPr="00405783" w:rsidRDefault="00666438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</w:tcPr>
          <w:p w:rsidR="00666438" w:rsidRPr="004B0A25" w:rsidRDefault="00666438" w:rsidP="00DA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vAlign w:val="center"/>
          </w:tcPr>
          <w:p w:rsidR="00666438" w:rsidRPr="008D250C" w:rsidRDefault="007E5D4F" w:rsidP="007E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709" w:type="dxa"/>
            <w:vAlign w:val="center"/>
          </w:tcPr>
          <w:p w:rsidR="00666438" w:rsidRPr="008D250C" w:rsidRDefault="00666438" w:rsidP="007E5D4F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8D250C">
              <w:rPr>
                <w:sz w:val="18"/>
                <w:szCs w:val="18"/>
              </w:rPr>
              <w:t>20,99</w:t>
            </w:r>
          </w:p>
        </w:tc>
        <w:tc>
          <w:tcPr>
            <w:tcW w:w="1275" w:type="dxa"/>
            <w:vAlign w:val="center"/>
          </w:tcPr>
          <w:p w:rsidR="00666438" w:rsidRPr="008D250C" w:rsidRDefault="007E5D4F" w:rsidP="007E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419 800,00</w:t>
            </w:r>
          </w:p>
        </w:tc>
      </w:tr>
      <w:tr w:rsidR="00666438" w:rsidRPr="00405783" w:rsidTr="00AE369D">
        <w:tc>
          <w:tcPr>
            <w:tcW w:w="993" w:type="dxa"/>
            <w:vMerge/>
          </w:tcPr>
          <w:p w:rsidR="00666438" w:rsidRPr="00405783" w:rsidRDefault="00666438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666438" w:rsidRPr="00405783" w:rsidRDefault="00666438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6438" w:rsidRPr="004B0A25" w:rsidRDefault="00666438" w:rsidP="00AE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  <w:p w:rsidR="00666438" w:rsidRPr="004B0A25" w:rsidRDefault="00666438" w:rsidP="00AE36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6438" w:rsidRPr="008D250C" w:rsidRDefault="00BB2B99" w:rsidP="0034163E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2 430</w:t>
            </w:r>
          </w:p>
        </w:tc>
        <w:tc>
          <w:tcPr>
            <w:tcW w:w="709" w:type="dxa"/>
            <w:vAlign w:val="center"/>
          </w:tcPr>
          <w:p w:rsidR="00666438" w:rsidRPr="008D250C" w:rsidRDefault="00666438" w:rsidP="0034163E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8D250C">
              <w:rPr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1275" w:type="dxa"/>
            <w:vAlign w:val="center"/>
          </w:tcPr>
          <w:p w:rsidR="00666438" w:rsidRPr="008D250C" w:rsidRDefault="00BB2B99" w:rsidP="0034163E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62 086,50</w:t>
            </w:r>
          </w:p>
        </w:tc>
      </w:tr>
      <w:tr w:rsidR="00E11B77" w:rsidRPr="00405783" w:rsidTr="000F63FA">
        <w:tc>
          <w:tcPr>
            <w:tcW w:w="993" w:type="dxa"/>
            <w:vMerge w:val="restart"/>
            <w:vAlign w:val="center"/>
          </w:tcPr>
          <w:p w:rsidR="00E11B77" w:rsidRPr="000A39EE" w:rsidRDefault="00E11B77" w:rsidP="00DA0E10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0A39EE">
              <w:rPr>
                <w:b/>
                <w:sz w:val="18"/>
                <w:szCs w:val="18"/>
                <w:lang w:eastAsia="ru-RU"/>
              </w:rPr>
              <w:t>Подгузники для детей весом свыше 20 кг</w:t>
            </w:r>
          </w:p>
        </w:tc>
        <w:tc>
          <w:tcPr>
            <w:tcW w:w="4677" w:type="dxa"/>
            <w:vMerge w:val="restart"/>
          </w:tcPr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обеспечивать соблюдение санитарно-гигиенических условий для детей - инвалидов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с нарушениями функций выделения и</w:t>
            </w:r>
            <w:r w:rsidRPr="00FB64CD">
              <w:rPr>
                <w:rFonts w:eastAsia="Microsoft YaHei"/>
                <w:sz w:val="18"/>
                <w:szCs w:val="18"/>
                <w:lang w:eastAsia="ru-RU"/>
              </w:rPr>
              <w:t xml:space="preserve"> максимальным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весом не более 30 кг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 xml:space="preserve">запах боковых частей и обеспечивать максимальную свободу движений ребёнка  и комфорт. 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 w:rsidR="00B20C4B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или номера (при наличии)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;о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бозначение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r w:rsidR="00B20C4B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r w:rsidR="00B20C4B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 w:rsidR="00B20C4B"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Р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E11B77" w:rsidRPr="00FE1D61" w:rsidRDefault="00E11B77" w:rsidP="00DA0E1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Место, условия и сроки (периоды) поставки подгузников детских:</w:t>
            </w:r>
          </w:p>
          <w:p w:rsidR="00E11B77" w:rsidRPr="00405783" w:rsidRDefault="00E11B77" w:rsidP="00DA0E10">
            <w:pPr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 w:val="18"/>
                <w:szCs w:val="18"/>
              </w:rPr>
            </w:pPr>
            <w:r w:rsidRPr="00955DF1">
              <w:rPr>
                <w:rFonts w:eastAsia="Arial"/>
                <w:kern w:val="2"/>
                <w:sz w:val="20"/>
                <w:szCs w:val="20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993" w:type="dxa"/>
          </w:tcPr>
          <w:p w:rsidR="00E11B77" w:rsidRPr="004B0A25" w:rsidRDefault="00E11B77" w:rsidP="00DA0E10">
            <w:pPr>
              <w:widowControl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lastRenderedPageBreak/>
              <w:t>Государственное учреждение – Ростовское регионал</w:t>
            </w:r>
            <w:r w:rsidRPr="004B0A25">
              <w:rPr>
                <w:sz w:val="20"/>
                <w:szCs w:val="20"/>
              </w:rPr>
              <w:lastRenderedPageBreak/>
              <w:t>ьное отделение Фонда социального страхования Российской Федерации</w:t>
            </w:r>
          </w:p>
        </w:tc>
        <w:tc>
          <w:tcPr>
            <w:tcW w:w="850" w:type="dxa"/>
            <w:vAlign w:val="center"/>
          </w:tcPr>
          <w:p w:rsidR="00E11B77" w:rsidRPr="00D36E12" w:rsidRDefault="002A3115" w:rsidP="000F63FA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84 990</w:t>
            </w:r>
          </w:p>
        </w:tc>
        <w:tc>
          <w:tcPr>
            <w:tcW w:w="709" w:type="dxa"/>
            <w:vAlign w:val="center"/>
          </w:tcPr>
          <w:p w:rsidR="00E11B77" w:rsidRPr="00D36E12" w:rsidRDefault="00E11B77" w:rsidP="003B50A6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D36E12">
              <w:rPr>
                <w:sz w:val="18"/>
                <w:szCs w:val="18"/>
                <w:lang w:eastAsia="ru-RU"/>
              </w:rPr>
              <w:t>17,1</w:t>
            </w:r>
            <w:r w:rsidR="003B50A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1B77" w:rsidRPr="00D36E12" w:rsidRDefault="002A3115" w:rsidP="000F63FA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1 453 329,00</w:t>
            </w:r>
          </w:p>
        </w:tc>
      </w:tr>
      <w:tr w:rsidR="00E11B77" w:rsidRPr="006633F2" w:rsidTr="00106596">
        <w:tc>
          <w:tcPr>
            <w:tcW w:w="993" w:type="dxa"/>
            <w:vMerge/>
          </w:tcPr>
          <w:p w:rsidR="00E11B77" w:rsidRPr="00405783" w:rsidRDefault="00E11B77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11B77" w:rsidRPr="00405783" w:rsidRDefault="00E11B77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</w:tcPr>
          <w:p w:rsidR="00E11B77" w:rsidRPr="004B0A25" w:rsidRDefault="00E11B77" w:rsidP="00DA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1B77" w:rsidRPr="008D250C" w:rsidRDefault="00106596" w:rsidP="0010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B77" w:rsidRPr="008D250C" w:rsidRDefault="00E11B77" w:rsidP="00106596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8D250C">
              <w:rPr>
                <w:sz w:val="18"/>
                <w:szCs w:val="18"/>
              </w:rPr>
              <w:t>20,99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B77" w:rsidRPr="008D250C" w:rsidRDefault="00106596" w:rsidP="00106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650 690,00</w:t>
            </w:r>
          </w:p>
        </w:tc>
      </w:tr>
      <w:tr w:rsidR="00E11B77" w:rsidRPr="006633F2" w:rsidTr="00AE369D">
        <w:tc>
          <w:tcPr>
            <w:tcW w:w="993" w:type="dxa"/>
            <w:vMerge/>
          </w:tcPr>
          <w:p w:rsidR="00E11B77" w:rsidRPr="00405783" w:rsidRDefault="00E11B77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677" w:type="dxa"/>
            <w:vMerge/>
          </w:tcPr>
          <w:p w:rsidR="00E11B77" w:rsidRPr="00405783" w:rsidRDefault="00E11B77" w:rsidP="00DA0E10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1B77" w:rsidRPr="004B0A25" w:rsidRDefault="00E11B77" w:rsidP="00AE3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B0A25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  <w:p w:rsidR="00E11B77" w:rsidRPr="004B0A25" w:rsidRDefault="00E11B77" w:rsidP="00AE36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B77" w:rsidRPr="00DB7C94" w:rsidRDefault="00DB7C94" w:rsidP="00DB7C94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DB7C94">
              <w:rPr>
                <w:sz w:val="18"/>
                <w:szCs w:val="18"/>
                <w:lang w:eastAsia="ru-RU"/>
              </w:rPr>
              <w:t>13 170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B77" w:rsidRPr="00DB7C94" w:rsidRDefault="00E11B77" w:rsidP="00DB7C94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DB7C94">
              <w:rPr>
                <w:sz w:val="18"/>
                <w:szCs w:val="18"/>
                <w:lang w:eastAsia="ru-RU"/>
              </w:rPr>
              <w:t>25,55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1B77" w:rsidRPr="00DB7C94" w:rsidRDefault="00DB7C94" w:rsidP="00DB7C94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DB7C94">
              <w:rPr>
                <w:sz w:val="18"/>
                <w:szCs w:val="18"/>
                <w:lang w:eastAsia="ru-RU"/>
              </w:rPr>
              <w:t>336 493,50</w:t>
            </w:r>
          </w:p>
        </w:tc>
      </w:tr>
      <w:tr w:rsidR="00B8530E" w:rsidRPr="00B8530E" w:rsidTr="005F4346">
        <w:tc>
          <w:tcPr>
            <w:tcW w:w="5670" w:type="dxa"/>
            <w:gridSpan w:val="2"/>
          </w:tcPr>
          <w:p w:rsidR="00B8530E" w:rsidRPr="00B8530E" w:rsidRDefault="00B8530E" w:rsidP="00DA0E10">
            <w:pPr>
              <w:widowControl w:val="0"/>
              <w:jc w:val="center"/>
              <w:rPr>
                <w:b/>
                <w:sz w:val="20"/>
                <w:szCs w:val="16"/>
              </w:rPr>
            </w:pPr>
            <w:r w:rsidRPr="00B8530E">
              <w:rPr>
                <w:b/>
                <w:sz w:val="20"/>
                <w:szCs w:val="16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B8530E" w:rsidRPr="00B8530E" w:rsidRDefault="00B8530E" w:rsidP="00DA0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30E" w:rsidRPr="00B8530E" w:rsidRDefault="001D6D9F" w:rsidP="00DB7C94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299 810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30E" w:rsidRPr="00B8530E" w:rsidRDefault="00B8530E" w:rsidP="00DB7C94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530E" w:rsidRPr="00B8530E" w:rsidRDefault="00DB6E2A" w:rsidP="00DB7C94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5 236 340,30</w:t>
            </w:r>
            <w:bookmarkStart w:id="0" w:name="_GoBack"/>
            <w:bookmarkEnd w:id="0"/>
          </w:p>
        </w:tc>
      </w:tr>
    </w:tbl>
    <w:p w:rsidR="00666438" w:rsidRPr="006633F2" w:rsidRDefault="00666438" w:rsidP="00666438">
      <w:pPr>
        <w:ind w:firstLine="709"/>
        <w:jc w:val="both"/>
      </w:pPr>
      <w:r w:rsidRPr="006633F2">
        <w:t xml:space="preserve">Поставка </w:t>
      </w:r>
      <w:r w:rsidR="00483458">
        <w:t>товара</w:t>
      </w:r>
      <w:r w:rsidRPr="006633F2">
        <w:t xml:space="preserve"> осуществляется </w:t>
      </w:r>
      <w:r w:rsidRPr="006633F2">
        <w:rPr>
          <w:kern w:val="2"/>
        </w:rPr>
        <w:t xml:space="preserve">непосредственно Получателю по месту жительства в течение </w:t>
      </w:r>
      <w:r w:rsidR="00483458" w:rsidRPr="00483458">
        <w:rPr>
          <w:kern w:val="2"/>
        </w:rPr>
        <w:t xml:space="preserve">не более 30 (Тридцати) календарных дней </w:t>
      </w:r>
      <w:r w:rsidRPr="006633F2">
        <w:rPr>
          <w:kern w:val="2"/>
        </w:rPr>
        <w:t xml:space="preserve">с момента получения реестра Получателей, но </w:t>
      </w:r>
      <w:r w:rsidRPr="006633F2">
        <w:t xml:space="preserve">не позднее </w:t>
      </w:r>
      <w:r w:rsidR="00483458">
        <w:rPr>
          <w:sz w:val="22"/>
          <w:szCs w:val="22"/>
        </w:rPr>
        <w:t>04</w:t>
      </w:r>
      <w:r w:rsidRPr="006633F2">
        <w:rPr>
          <w:sz w:val="22"/>
          <w:szCs w:val="22"/>
        </w:rPr>
        <w:t>.1</w:t>
      </w:r>
      <w:r w:rsidR="00483458">
        <w:rPr>
          <w:sz w:val="22"/>
          <w:szCs w:val="22"/>
        </w:rPr>
        <w:t>2</w:t>
      </w:r>
      <w:r w:rsidRPr="006633F2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633F2">
        <w:rPr>
          <w:sz w:val="22"/>
          <w:szCs w:val="22"/>
        </w:rPr>
        <w:t xml:space="preserve"> г.:</w:t>
      </w:r>
    </w:p>
    <w:p w:rsidR="00666438" w:rsidRPr="00EE1954" w:rsidRDefault="00666438" w:rsidP="00666438">
      <w:pPr>
        <w:widowControl w:val="0"/>
        <w:numPr>
          <w:ilvl w:val="0"/>
          <w:numId w:val="1"/>
        </w:numPr>
        <w:ind w:left="0" w:firstLine="360"/>
        <w:jc w:val="both"/>
      </w:pPr>
      <w:r w:rsidRPr="006633F2">
        <w:t xml:space="preserve">Государственное учреждение – Ростовское региональное отделение Фонда социального страхования Российской Федерации: </w:t>
      </w:r>
      <w:proofErr w:type="gramStart"/>
      <w:r w:rsidRPr="006633F2">
        <w:t xml:space="preserve">Российская Федерация, Ростовская область, по месту жительства инвалидов: г. Ростов-на-Дону,  </w:t>
      </w:r>
      <w:proofErr w:type="spellStart"/>
      <w:r w:rsidRPr="006633F2">
        <w:t>Мясниковский</w:t>
      </w:r>
      <w:proofErr w:type="spellEnd"/>
      <w:r w:rsidRPr="006633F2">
        <w:t xml:space="preserve">,  </w:t>
      </w:r>
      <w:proofErr w:type="spellStart"/>
      <w:r w:rsidRPr="006633F2">
        <w:t>Родионово</w:t>
      </w:r>
      <w:proofErr w:type="spellEnd"/>
      <w:r w:rsidRPr="006633F2">
        <w:t xml:space="preserve"> - </w:t>
      </w:r>
      <w:proofErr w:type="spellStart"/>
      <w:r w:rsidRPr="006633F2">
        <w:t>Несветайский</w:t>
      </w:r>
      <w:proofErr w:type="spellEnd"/>
      <w:r w:rsidRPr="006633F2">
        <w:t xml:space="preserve"> районы, г. Аксай, </w:t>
      </w:r>
      <w:proofErr w:type="spellStart"/>
      <w:r w:rsidRPr="006633F2">
        <w:t>Аксайский</w:t>
      </w:r>
      <w:proofErr w:type="spellEnd"/>
      <w:r w:rsidRPr="006633F2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6633F2">
        <w:t>Мартыновский</w:t>
      </w:r>
      <w:proofErr w:type="spellEnd"/>
      <w:r w:rsidRPr="006633F2">
        <w:t xml:space="preserve"> районы, г. Миллерово, Миллеровский, </w:t>
      </w:r>
      <w:proofErr w:type="spellStart"/>
      <w:r w:rsidRPr="006633F2">
        <w:t>Кашарский</w:t>
      </w:r>
      <w:proofErr w:type="spellEnd"/>
      <w:r w:rsidRPr="006633F2">
        <w:t xml:space="preserve">, </w:t>
      </w:r>
      <w:proofErr w:type="spellStart"/>
      <w:r w:rsidRPr="006633F2">
        <w:t>Чертковский</w:t>
      </w:r>
      <w:proofErr w:type="spellEnd"/>
      <w:r w:rsidRPr="006633F2">
        <w:t xml:space="preserve">, В-Донской, Шолоховский, </w:t>
      </w:r>
      <w:proofErr w:type="spellStart"/>
      <w:r w:rsidRPr="006633F2">
        <w:t>Боковский</w:t>
      </w:r>
      <w:proofErr w:type="spellEnd"/>
      <w:r w:rsidRPr="006633F2">
        <w:t xml:space="preserve"> районы</w:t>
      </w:r>
      <w:r w:rsidRPr="00EE1954">
        <w:t xml:space="preserve">, г. Зерноград, Зерноградский, </w:t>
      </w:r>
      <w:proofErr w:type="spellStart"/>
      <w:r w:rsidRPr="00EE1954">
        <w:t>Егорлыкский</w:t>
      </w:r>
      <w:proofErr w:type="spellEnd"/>
      <w:r w:rsidRPr="00EE1954">
        <w:t xml:space="preserve"> районы, Батайск, </w:t>
      </w:r>
      <w:proofErr w:type="spellStart"/>
      <w:r w:rsidRPr="00EE1954">
        <w:t>Кагальницкий</w:t>
      </w:r>
      <w:proofErr w:type="spellEnd"/>
      <w:r w:rsidRPr="00EE1954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EE1954">
        <w:t>Неклиновский</w:t>
      </w:r>
      <w:proofErr w:type="spellEnd"/>
      <w:r w:rsidRPr="00EE1954">
        <w:t xml:space="preserve">, Куйбышевский районы, г. Белая Калитва, </w:t>
      </w:r>
      <w:proofErr w:type="spellStart"/>
      <w:r w:rsidRPr="00EE1954">
        <w:t>Белокалитвенский</w:t>
      </w:r>
      <w:proofErr w:type="spellEnd"/>
      <w:r w:rsidRPr="00EE1954">
        <w:t>, Тацинский</w:t>
      </w:r>
      <w:proofErr w:type="gramEnd"/>
      <w:r w:rsidRPr="00EE1954">
        <w:t xml:space="preserve"> </w:t>
      </w:r>
      <w:proofErr w:type="gramStart"/>
      <w:r w:rsidRPr="00EE1954">
        <w:t xml:space="preserve">районы, г. Красный Сулин, Красносулинский, Октябрьский районы, г. Волгодонск,  </w:t>
      </w:r>
      <w:proofErr w:type="spellStart"/>
      <w:r w:rsidRPr="00EE1954">
        <w:t>Волгодонской</w:t>
      </w:r>
      <w:proofErr w:type="spellEnd"/>
      <w:r w:rsidRPr="00EE1954">
        <w:t xml:space="preserve">, </w:t>
      </w:r>
      <w:proofErr w:type="spellStart"/>
      <w:r w:rsidRPr="00EE1954">
        <w:t>Цимлянский</w:t>
      </w:r>
      <w:proofErr w:type="spellEnd"/>
      <w:r w:rsidRPr="00EE1954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EE1954">
        <w:t>Сальский</w:t>
      </w:r>
      <w:proofErr w:type="spellEnd"/>
      <w:r w:rsidRPr="00EE1954">
        <w:t xml:space="preserve">, </w:t>
      </w:r>
      <w:proofErr w:type="spellStart"/>
      <w:r w:rsidRPr="00EE1954">
        <w:t>Песчанокопский</w:t>
      </w:r>
      <w:proofErr w:type="spellEnd"/>
      <w:r w:rsidRPr="00EE1954">
        <w:t xml:space="preserve">, </w:t>
      </w:r>
      <w:proofErr w:type="spellStart"/>
      <w:r w:rsidRPr="00EE1954">
        <w:t>Целинский</w:t>
      </w:r>
      <w:proofErr w:type="spellEnd"/>
      <w:r w:rsidRPr="00EE1954">
        <w:t xml:space="preserve"> районы, п. Зимовники, </w:t>
      </w:r>
      <w:proofErr w:type="spellStart"/>
      <w:r w:rsidRPr="00EE1954">
        <w:t>Зимовниковский</w:t>
      </w:r>
      <w:proofErr w:type="spellEnd"/>
      <w:r w:rsidRPr="00EE1954">
        <w:t xml:space="preserve">, </w:t>
      </w:r>
      <w:proofErr w:type="spellStart"/>
      <w:r w:rsidRPr="00EE1954">
        <w:t>Заветинский</w:t>
      </w:r>
      <w:proofErr w:type="spellEnd"/>
      <w:r w:rsidRPr="00EE1954">
        <w:t xml:space="preserve">, </w:t>
      </w:r>
      <w:proofErr w:type="spellStart"/>
      <w:r w:rsidRPr="00EE1954">
        <w:t>Дубовский</w:t>
      </w:r>
      <w:proofErr w:type="spellEnd"/>
      <w:r w:rsidRPr="00EE1954">
        <w:t xml:space="preserve">, </w:t>
      </w:r>
      <w:proofErr w:type="spellStart"/>
      <w:r w:rsidRPr="00EE1954">
        <w:t>Ремонтненский</w:t>
      </w:r>
      <w:proofErr w:type="spellEnd"/>
      <w:r w:rsidRPr="00EE1954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EE1954">
        <w:t>Милютинский</w:t>
      </w:r>
      <w:proofErr w:type="spellEnd"/>
      <w:r w:rsidRPr="00EE1954">
        <w:t xml:space="preserve">, </w:t>
      </w:r>
      <w:proofErr w:type="spellStart"/>
      <w:r w:rsidRPr="00EE1954">
        <w:t>Обливский</w:t>
      </w:r>
      <w:proofErr w:type="spellEnd"/>
      <w:r w:rsidRPr="00EE1954">
        <w:t xml:space="preserve"> районы по месту жительства получателей</w:t>
      </w:r>
      <w:proofErr w:type="gramEnd"/>
      <w:r w:rsidRPr="00EE1954">
        <w:t xml:space="preserve"> согласно предоставленным Заказчиком реестров.</w:t>
      </w:r>
    </w:p>
    <w:p w:rsidR="00666438" w:rsidRPr="00EE1954" w:rsidRDefault="00666438" w:rsidP="00666438">
      <w:pPr>
        <w:widowControl w:val="0"/>
        <w:numPr>
          <w:ilvl w:val="0"/>
          <w:numId w:val="1"/>
        </w:numPr>
        <w:tabs>
          <w:tab w:val="left" w:pos="1134"/>
        </w:tabs>
        <w:ind w:left="0" w:firstLine="360"/>
        <w:jc w:val="both"/>
      </w:pPr>
      <w:r w:rsidRPr="00EE1954">
        <w:t xml:space="preserve">Государственное учреждение – региональное отделение Фонда социального страхования Российской Федерации по Республике Крым: </w:t>
      </w:r>
      <w:proofErr w:type="gramStart"/>
      <w:r w:rsidRPr="00EE1954">
        <w:t xml:space="preserve">Российская Федерация, Республика Крым, по месту жительства инвалидов: 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EE1954">
        <w:t>Нижегорский</w:t>
      </w:r>
      <w:proofErr w:type="spellEnd"/>
      <w:r w:rsidRPr="00EE1954">
        <w:t xml:space="preserve"> район, Кировский район, Советский район, Черноморский район, Ленинский район, </w:t>
      </w:r>
      <w:proofErr w:type="spellStart"/>
      <w:r w:rsidRPr="00EE1954">
        <w:t>Раздольненский</w:t>
      </w:r>
      <w:proofErr w:type="spellEnd"/>
      <w:r w:rsidRPr="00EE1954">
        <w:t xml:space="preserve"> район, Первомайский район, Симферопольский район, </w:t>
      </w:r>
      <w:proofErr w:type="spellStart"/>
      <w:r w:rsidRPr="00EE1954">
        <w:t>Сакский</w:t>
      </w:r>
      <w:proofErr w:type="spellEnd"/>
      <w:r w:rsidRPr="00EE1954">
        <w:t xml:space="preserve"> район, </w:t>
      </w:r>
      <w:proofErr w:type="spellStart"/>
      <w:r w:rsidRPr="00EE1954">
        <w:t>Джанкойский</w:t>
      </w:r>
      <w:proofErr w:type="spellEnd"/>
      <w:r w:rsidRPr="00EE1954">
        <w:t xml:space="preserve"> район, Бахчисарайский район, по месту</w:t>
      </w:r>
      <w:proofErr w:type="gramEnd"/>
      <w:r w:rsidRPr="00EE1954">
        <w:t xml:space="preserve"> жительства получателей согласно предоставленным Заказчиком реестров.</w:t>
      </w:r>
    </w:p>
    <w:p w:rsidR="00666438" w:rsidRPr="000B2826" w:rsidRDefault="00666438" w:rsidP="00666438">
      <w:pPr>
        <w:pStyle w:val="a6"/>
        <w:numPr>
          <w:ilvl w:val="0"/>
          <w:numId w:val="1"/>
        </w:numPr>
        <w:suppressAutoHyphens w:val="0"/>
        <w:ind w:left="0" w:firstLine="360"/>
        <w:jc w:val="both"/>
        <w:rPr>
          <w:b/>
        </w:rPr>
      </w:pPr>
      <w:r w:rsidRPr="000B2826">
        <w:t>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</w:t>
      </w:r>
      <w:r w:rsidRPr="00EE1954">
        <w:t xml:space="preserve"> получателей согласно предоставленным Заказчиком реестров.</w:t>
      </w:r>
    </w:p>
    <w:p w:rsidR="00CA23C9" w:rsidRDefault="00CA23C9"/>
    <w:sectPr w:rsidR="00CA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54"/>
    <w:multiLevelType w:val="hybridMultilevel"/>
    <w:tmpl w:val="CC2C49CE"/>
    <w:lvl w:ilvl="0" w:tplc="8BE2F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C8"/>
    <w:rsid w:val="000A39EE"/>
    <w:rsid w:val="000F63FA"/>
    <w:rsid w:val="00106596"/>
    <w:rsid w:val="00117AC9"/>
    <w:rsid w:val="001D6D9F"/>
    <w:rsid w:val="001E618B"/>
    <w:rsid w:val="002064CC"/>
    <w:rsid w:val="002A3115"/>
    <w:rsid w:val="002B2498"/>
    <w:rsid w:val="0034163E"/>
    <w:rsid w:val="00376D6A"/>
    <w:rsid w:val="003A164D"/>
    <w:rsid w:val="003B50A6"/>
    <w:rsid w:val="00483458"/>
    <w:rsid w:val="00666438"/>
    <w:rsid w:val="007E5D4F"/>
    <w:rsid w:val="00955DF1"/>
    <w:rsid w:val="00985FA1"/>
    <w:rsid w:val="00A31F3D"/>
    <w:rsid w:val="00AE369D"/>
    <w:rsid w:val="00AF6C2E"/>
    <w:rsid w:val="00B02F10"/>
    <w:rsid w:val="00B16837"/>
    <w:rsid w:val="00B20C4B"/>
    <w:rsid w:val="00B30F13"/>
    <w:rsid w:val="00B8530E"/>
    <w:rsid w:val="00BB2B99"/>
    <w:rsid w:val="00C67BC8"/>
    <w:rsid w:val="00CA23C9"/>
    <w:rsid w:val="00DB6E2A"/>
    <w:rsid w:val="00DB7C94"/>
    <w:rsid w:val="00E11B77"/>
    <w:rsid w:val="00EF77CF"/>
    <w:rsid w:val="00F717D8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64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PlusNonformat">
    <w:name w:val="ConsPlusNonformat"/>
    <w:rsid w:val="0066643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5">
    <w:name w:val="Обычный.Нормальный абзац"/>
    <w:rsid w:val="0066643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66643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66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666438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66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31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1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64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PlusNonformat">
    <w:name w:val="ConsPlusNonformat"/>
    <w:rsid w:val="0066643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5">
    <w:name w:val="Обычный.Нормальный абзац"/>
    <w:rsid w:val="0066643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66643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66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666438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66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31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1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puhkalova_ts</cp:lastModifiedBy>
  <cp:revision>8</cp:revision>
  <cp:lastPrinted>2018-04-28T08:02:00Z</cp:lastPrinted>
  <dcterms:created xsi:type="dcterms:W3CDTF">2018-04-23T14:48:00Z</dcterms:created>
  <dcterms:modified xsi:type="dcterms:W3CDTF">2018-04-28T08:17:00Z</dcterms:modified>
</cp:coreProperties>
</file>