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47" w:rsidRPr="000C4C8C" w:rsidRDefault="00B34F47" w:rsidP="00B34F47">
      <w:pPr>
        <w:jc w:val="center"/>
        <w:outlineLvl w:val="0"/>
        <w:rPr>
          <w:b/>
        </w:rPr>
      </w:pPr>
      <w:r w:rsidRPr="000C4C8C">
        <w:rPr>
          <w:b/>
        </w:rPr>
        <w:t>Техническое задание</w:t>
      </w:r>
    </w:p>
    <w:p w:rsidR="00B34F47" w:rsidRDefault="00B34F47" w:rsidP="00B34F47">
      <w:pPr>
        <w:jc w:val="center"/>
        <w:rPr>
          <w:b/>
        </w:rPr>
      </w:pPr>
      <w:r w:rsidRPr="000C4C8C">
        <w:rPr>
          <w:b/>
        </w:rPr>
        <w:t>на поставку за 3 квартал 2018 года подгузников для детей для обеспечения инвалидов</w:t>
      </w:r>
    </w:p>
    <w:p w:rsidR="00B34F47" w:rsidRDefault="00B34F47" w:rsidP="00B34F47">
      <w:pPr>
        <w:rPr>
          <w:b/>
        </w:rPr>
      </w:pPr>
    </w:p>
    <w:tbl>
      <w:tblPr>
        <w:tblpPr w:leftFromText="180" w:rightFromText="180" w:vertAnchor="text" w:horzAnchor="margin" w:tblpX="247" w:tblpY="-64"/>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78"/>
        <w:gridCol w:w="10962"/>
        <w:gridCol w:w="2866"/>
      </w:tblGrid>
      <w:tr w:rsidR="00B34F47" w:rsidTr="00A1666E">
        <w:tc>
          <w:tcPr>
            <w:tcW w:w="1678" w:type="dxa"/>
            <w:shd w:val="clear" w:color="auto" w:fill="auto"/>
          </w:tcPr>
          <w:p w:rsidR="00B34F47" w:rsidRDefault="00B34F47" w:rsidP="00A1666E">
            <w:pPr>
              <w:widowControl/>
              <w:suppressAutoHyphens w:val="0"/>
              <w:spacing w:before="100" w:after="119"/>
              <w:rPr>
                <w:rFonts w:eastAsia="Times New Roman"/>
                <w:b/>
              </w:rPr>
            </w:pPr>
            <w:r>
              <w:rPr>
                <w:rFonts w:eastAsia="Times New Roman"/>
                <w:b/>
              </w:rPr>
              <w:t>Наименование товара</w:t>
            </w:r>
          </w:p>
        </w:tc>
        <w:tc>
          <w:tcPr>
            <w:tcW w:w="10962" w:type="dxa"/>
            <w:shd w:val="clear" w:color="auto" w:fill="auto"/>
          </w:tcPr>
          <w:p w:rsidR="00B34F47" w:rsidRDefault="00B34F47" w:rsidP="00A1666E">
            <w:pPr>
              <w:widowControl/>
              <w:suppressAutoHyphens w:val="0"/>
              <w:spacing w:before="100" w:after="119"/>
              <w:rPr>
                <w:rFonts w:eastAsia="Times New Roman"/>
                <w:b/>
              </w:rPr>
            </w:pPr>
            <w:r>
              <w:rPr>
                <w:rFonts w:eastAsia="Times New Roman"/>
                <w:b/>
              </w:rPr>
              <w:t>Описание функциональных и технических характеристики товара</w:t>
            </w:r>
          </w:p>
        </w:tc>
        <w:tc>
          <w:tcPr>
            <w:tcW w:w="2866" w:type="dxa"/>
            <w:shd w:val="clear" w:color="auto" w:fill="auto"/>
          </w:tcPr>
          <w:p w:rsidR="00B34F47" w:rsidRDefault="00B34F47" w:rsidP="00A1666E">
            <w:pPr>
              <w:widowControl/>
              <w:suppressAutoHyphens w:val="0"/>
              <w:spacing w:before="100" w:after="119"/>
            </w:pPr>
            <w:r>
              <w:rPr>
                <w:rFonts w:eastAsia="Times New Roman"/>
                <w:b/>
              </w:rPr>
              <w:t>Показатель характеристики</w:t>
            </w:r>
          </w:p>
        </w:tc>
      </w:tr>
      <w:tr w:rsidR="00B34F47" w:rsidTr="00A1666E">
        <w:tc>
          <w:tcPr>
            <w:tcW w:w="1678" w:type="dxa"/>
            <w:vMerge w:val="restart"/>
            <w:shd w:val="clear" w:color="auto" w:fill="auto"/>
          </w:tcPr>
          <w:p w:rsidR="00B34F47" w:rsidRDefault="00B34F47" w:rsidP="00A1666E">
            <w:pPr>
              <w:widowControl/>
              <w:suppressAutoHyphens w:val="0"/>
              <w:spacing w:before="102" w:after="119"/>
              <w:rPr>
                <w:rFonts w:eastAsia="Times New Roman"/>
              </w:rPr>
            </w:pPr>
            <w:r>
              <w:rPr>
                <w:rFonts w:eastAsia="Times New Roman"/>
              </w:rPr>
              <w:t>Подгузники для детей</w:t>
            </w: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Количество многоразовых застежек</w:t>
            </w:r>
          </w:p>
        </w:tc>
        <w:tc>
          <w:tcPr>
            <w:tcW w:w="2866" w:type="dxa"/>
            <w:shd w:val="clear" w:color="auto" w:fill="auto"/>
          </w:tcPr>
          <w:p w:rsidR="00B34F47" w:rsidRDefault="00B34F47" w:rsidP="00A1666E">
            <w:pPr>
              <w:widowControl/>
              <w:suppressAutoHyphens w:val="0"/>
              <w:spacing w:before="100" w:after="119"/>
            </w:pPr>
            <w:r>
              <w:rPr>
                <w:rFonts w:eastAsia="Times New Roman"/>
              </w:rPr>
              <w:t>не менее 2</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застежках - «липучках». </w:t>
            </w:r>
          </w:p>
        </w:tc>
        <w:tc>
          <w:tcPr>
            <w:tcW w:w="2866" w:type="dxa"/>
            <w:shd w:val="clear" w:color="auto" w:fill="auto"/>
          </w:tcPr>
          <w:p w:rsidR="00B34F47" w:rsidRDefault="00B34F47" w:rsidP="00A1666E">
            <w:pPr>
              <w:widowControl/>
              <w:suppressAutoHyphens w:val="0"/>
              <w:spacing w:before="100" w:after="119"/>
            </w:pPr>
            <w:r>
              <w:rPr>
                <w:rFonts w:eastAsia="Times New Roman"/>
              </w:rPr>
              <w:t>Соответствие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Дополнительное увеличение площади на запах боковых частей</w:t>
            </w:r>
          </w:p>
        </w:tc>
        <w:tc>
          <w:tcPr>
            <w:tcW w:w="2866" w:type="dxa"/>
            <w:shd w:val="clear" w:color="auto" w:fill="auto"/>
          </w:tcPr>
          <w:p w:rsidR="00B34F47" w:rsidRDefault="00B34F47" w:rsidP="00A1666E">
            <w:pPr>
              <w:widowControl/>
              <w:suppressAutoHyphens w:val="0"/>
              <w:spacing w:before="100" w:after="119"/>
            </w:pPr>
            <w:r>
              <w:rPr>
                <w:rFonts w:eastAsia="Times New Roman"/>
              </w:rPr>
              <w:t>Соответствие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 xml:space="preserve">Впитывающий слой подгузника поглощает и удерживает впитываемую жидкость внутри подгузника состоящий из: целлюлозных волокон или целлюлозной ваты, или целлюлозного полотна, с добавлением химических волокон или без них, с содержанием суперабсорбента </w:t>
            </w:r>
          </w:p>
        </w:tc>
        <w:tc>
          <w:tcPr>
            <w:tcW w:w="2866" w:type="dxa"/>
            <w:shd w:val="clear" w:color="auto" w:fill="auto"/>
          </w:tcPr>
          <w:p w:rsidR="00B34F47" w:rsidRDefault="00B34F47" w:rsidP="00A1666E">
            <w:pPr>
              <w:widowControl/>
              <w:suppressAutoHyphens w:val="0"/>
              <w:spacing w:before="100" w:after="119"/>
            </w:pPr>
            <w:r>
              <w:rPr>
                <w:rFonts w:eastAsia="Times New Roman"/>
              </w:rPr>
              <w:t>Соответствие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2866" w:type="dxa"/>
            <w:shd w:val="clear" w:color="auto" w:fill="auto"/>
          </w:tcPr>
          <w:p w:rsidR="00B34F47" w:rsidRDefault="00B34F47" w:rsidP="00A1666E">
            <w:pPr>
              <w:widowControl/>
              <w:suppressAutoHyphens w:val="0"/>
              <w:spacing w:before="100" w:after="119"/>
            </w:pPr>
            <w:r>
              <w:rPr>
                <w:rFonts w:eastAsia="Times New Roman"/>
              </w:rPr>
              <w:t>Соответствие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2866" w:type="dxa"/>
            <w:shd w:val="clear" w:color="auto" w:fill="auto"/>
          </w:tcPr>
          <w:p w:rsidR="00B34F47" w:rsidRDefault="00B34F47" w:rsidP="00A1666E">
            <w:pPr>
              <w:widowControl/>
              <w:suppressAutoHyphens w:val="0"/>
              <w:spacing w:before="100" w:after="119"/>
            </w:pPr>
            <w:r>
              <w:rPr>
                <w:rFonts w:eastAsia="Times New Roman"/>
              </w:rPr>
              <w:t>Соответствие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Pr>
                <w:rFonts w:eastAsia="Times New Roman"/>
              </w:rPr>
              <w:t xml:space="preserve"> условное обозначение группы подгузника, товарная марка (при наличии), обозначение размера изделия обозначение впитываемости товара</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страну-изготовитель</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дата (месяц, год) изготовления</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срок годности</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Правила использования</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информация о сертификации</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 xml:space="preserve">количество подгузников в упаковке </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наименование предприятия-изготовителя, юридический адрес</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Количество размеров</w:t>
            </w:r>
          </w:p>
        </w:tc>
        <w:tc>
          <w:tcPr>
            <w:tcW w:w="2866" w:type="dxa"/>
            <w:shd w:val="clear" w:color="auto" w:fill="auto"/>
          </w:tcPr>
          <w:p w:rsidR="00B34F47" w:rsidRDefault="00B34F47" w:rsidP="00A1666E">
            <w:pPr>
              <w:widowControl/>
              <w:suppressAutoHyphens w:val="0"/>
              <w:spacing w:before="100" w:after="119"/>
            </w:pPr>
            <w:r>
              <w:rPr>
                <w:rFonts w:eastAsia="Times New Roman"/>
                <w:color w:val="000000"/>
              </w:rPr>
              <w:t>не менее</w:t>
            </w:r>
            <w:r>
              <w:rPr>
                <w:rFonts w:eastAsia="Times New Roman"/>
              </w:rPr>
              <w:t xml:space="preserve"> 4 типов размеров </w:t>
            </w:r>
          </w:p>
        </w:tc>
      </w:tr>
      <w:tr w:rsidR="00B34F47" w:rsidTr="00A1666E">
        <w:tc>
          <w:tcPr>
            <w:tcW w:w="1678" w:type="dxa"/>
            <w:vMerge/>
            <w:shd w:val="clear" w:color="auto" w:fill="auto"/>
            <w:vAlign w:val="center"/>
          </w:tcPr>
          <w:p w:rsidR="00B34F47" w:rsidRDefault="00B34F47" w:rsidP="00A1666E">
            <w:pPr>
              <w:widowControl/>
              <w:suppressAutoHyphens w:val="0"/>
              <w:snapToGrid w:val="0"/>
              <w:rPr>
                <w:rFonts w:eastAsia="Times New Roman"/>
                <w:sz w:val="20"/>
                <w:szCs w:val="20"/>
              </w:rPr>
            </w:pPr>
          </w:p>
        </w:tc>
        <w:tc>
          <w:tcPr>
            <w:tcW w:w="10962" w:type="dxa"/>
            <w:shd w:val="clear" w:color="auto" w:fill="auto"/>
          </w:tcPr>
          <w:p w:rsidR="00B34F47" w:rsidRDefault="00B34F47" w:rsidP="00A1666E">
            <w:pPr>
              <w:widowControl/>
              <w:suppressAutoHyphens w:val="0"/>
              <w:spacing w:before="100" w:after="119"/>
              <w:rPr>
                <w:rFonts w:eastAsia="Times New Roman"/>
              </w:rPr>
            </w:pPr>
            <w:r>
              <w:rPr>
                <w:rFonts w:eastAsia="Times New Roman"/>
              </w:rPr>
              <w:t>Эластичные влагонепроницаемые элементы в области анатомических выемок и на боковых частях, предотвращающие подтекание</w:t>
            </w:r>
          </w:p>
        </w:tc>
        <w:tc>
          <w:tcPr>
            <w:tcW w:w="2866" w:type="dxa"/>
            <w:shd w:val="clear" w:color="auto" w:fill="auto"/>
          </w:tcPr>
          <w:p w:rsidR="00B34F47" w:rsidRDefault="00B34F47" w:rsidP="00A1666E">
            <w:pPr>
              <w:widowControl/>
              <w:suppressAutoHyphens w:val="0"/>
              <w:spacing w:before="100" w:after="119"/>
            </w:pPr>
            <w:r>
              <w:rPr>
                <w:rFonts w:eastAsia="Times New Roman"/>
              </w:rPr>
              <w:t>Наличие</w:t>
            </w:r>
          </w:p>
        </w:tc>
      </w:tr>
    </w:tbl>
    <w:p w:rsidR="00B34F47" w:rsidRDefault="00B34F47" w:rsidP="00B34F47">
      <w:pPr>
        <w:ind w:firstLine="709"/>
        <w:jc w:val="both"/>
        <w:rPr>
          <w:b/>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7"/>
        <w:gridCol w:w="1984"/>
        <w:gridCol w:w="1559"/>
        <w:gridCol w:w="1985"/>
        <w:gridCol w:w="2613"/>
        <w:gridCol w:w="2358"/>
      </w:tblGrid>
      <w:tr w:rsidR="00B34F47" w:rsidTr="00A1666E">
        <w:trPr>
          <w:trHeight w:val="3060"/>
        </w:trPr>
        <w:tc>
          <w:tcPr>
            <w:tcW w:w="2835" w:type="dxa"/>
            <w:shd w:val="clear" w:color="auto" w:fill="auto"/>
            <w:vAlign w:val="center"/>
          </w:tcPr>
          <w:p w:rsidR="00B34F47" w:rsidRPr="002335BB" w:rsidRDefault="00B34F47" w:rsidP="00A1666E">
            <w:pPr>
              <w:widowControl/>
              <w:suppressAutoHyphens w:val="0"/>
              <w:jc w:val="center"/>
              <w:rPr>
                <w:rFonts w:eastAsia="Times New Roman"/>
                <w:color w:val="000000"/>
              </w:rPr>
            </w:pPr>
            <w:r w:rsidRPr="002335BB">
              <w:rPr>
                <w:rFonts w:eastAsia="Times New Roman"/>
                <w:color w:val="000000"/>
              </w:rPr>
              <w:lastRenderedPageBreak/>
              <w:t>Наименование товара</w:t>
            </w:r>
          </w:p>
        </w:tc>
        <w:tc>
          <w:tcPr>
            <w:tcW w:w="2127" w:type="dxa"/>
            <w:shd w:val="clear" w:color="auto" w:fill="auto"/>
            <w:vAlign w:val="center"/>
          </w:tcPr>
          <w:p w:rsidR="00B34F47" w:rsidRPr="002335BB" w:rsidRDefault="00B34F47" w:rsidP="00A1666E">
            <w:pPr>
              <w:widowControl/>
              <w:suppressAutoHyphens w:val="0"/>
              <w:jc w:val="center"/>
              <w:rPr>
                <w:rFonts w:eastAsia="Calibri"/>
                <w:color w:val="000000"/>
              </w:rPr>
            </w:pPr>
            <w:r w:rsidRPr="002335BB">
              <w:rPr>
                <w:rFonts w:eastAsia="Times New Roman"/>
                <w:color w:val="000000"/>
              </w:rPr>
              <w:t>Диапазон массы ребенка, кг</w:t>
            </w:r>
          </w:p>
        </w:tc>
        <w:tc>
          <w:tcPr>
            <w:tcW w:w="1984" w:type="dxa"/>
            <w:shd w:val="clear" w:color="auto" w:fill="auto"/>
            <w:vAlign w:val="center"/>
          </w:tcPr>
          <w:p w:rsidR="00B34F47" w:rsidRPr="002335BB" w:rsidRDefault="00B34F47" w:rsidP="00A1666E">
            <w:pPr>
              <w:widowControl/>
              <w:suppressAutoHyphens w:val="0"/>
              <w:jc w:val="center"/>
              <w:rPr>
                <w:rFonts w:eastAsia="Times New Roman"/>
                <w:color w:val="000000"/>
              </w:rPr>
            </w:pPr>
            <w:r w:rsidRPr="002335BB">
              <w:t>Условное обозначение возрастной группы подгузников</w:t>
            </w:r>
          </w:p>
        </w:tc>
        <w:tc>
          <w:tcPr>
            <w:tcW w:w="1559" w:type="dxa"/>
            <w:shd w:val="clear" w:color="auto" w:fill="auto"/>
            <w:vAlign w:val="center"/>
          </w:tcPr>
          <w:p w:rsidR="00B34F47" w:rsidRPr="002335BB" w:rsidRDefault="00B34F47" w:rsidP="00A1666E">
            <w:pPr>
              <w:widowControl/>
              <w:suppressAutoHyphens w:val="0"/>
              <w:jc w:val="center"/>
              <w:rPr>
                <w:rFonts w:eastAsia="Times New Roman"/>
                <w:color w:val="000000"/>
              </w:rPr>
            </w:pPr>
            <w:r w:rsidRPr="002335BB">
              <w:rPr>
                <w:rFonts w:eastAsia="Times New Roman"/>
                <w:color w:val="000000"/>
              </w:rPr>
              <w:t xml:space="preserve"> Полное влагопоглощение, г, не менее</w:t>
            </w:r>
          </w:p>
        </w:tc>
        <w:tc>
          <w:tcPr>
            <w:tcW w:w="1985" w:type="dxa"/>
            <w:shd w:val="clear" w:color="auto" w:fill="auto"/>
            <w:vAlign w:val="center"/>
          </w:tcPr>
          <w:p w:rsidR="00B34F47" w:rsidRPr="002335BB" w:rsidRDefault="00B34F47" w:rsidP="00A1666E">
            <w:pPr>
              <w:widowControl/>
              <w:suppressAutoHyphens w:val="0"/>
              <w:jc w:val="center"/>
              <w:rPr>
                <w:rFonts w:eastAsia="Times New Roman"/>
                <w:color w:val="000000"/>
              </w:rPr>
            </w:pPr>
            <w:r w:rsidRPr="002335BB">
              <w:rPr>
                <w:rFonts w:eastAsia="Times New Roman"/>
                <w:color w:val="000000"/>
              </w:rPr>
              <w:t>Обратная сорбция, г, не более</w:t>
            </w:r>
          </w:p>
        </w:tc>
        <w:tc>
          <w:tcPr>
            <w:tcW w:w="2613" w:type="dxa"/>
            <w:shd w:val="clear" w:color="auto" w:fill="auto"/>
            <w:vAlign w:val="center"/>
          </w:tcPr>
          <w:p w:rsidR="00B34F47" w:rsidRPr="002335BB" w:rsidRDefault="00B34F47" w:rsidP="00A1666E">
            <w:pPr>
              <w:widowControl/>
              <w:suppressAutoHyphens w:val="0"/>
              <w:jc w:val="center"/>
              <w:rPr>
                <w:rFonts w:eastAsia="Times New Roman"/>
                <w:color w:val="000000"/>
              </w:rPr>
            </w:pPr>
            <w:r w:rsidRPr="002335BB">
              <w:rPr>
                <w:rFonts w:eastAsia="Times New Roman"/>
                <w:color w:val="000000"/>
              </w:rPr>
              <w:t>Скорость впитывания, не более см3/с</w:t>
            </w:r>
          </w:p>
        </w:tc>
        <w:tc>
          <w:tcPr>
            <w:tcW w:w="2358" w:type="dxa"/>
            <w:shd w:val="clear" w:color="auto" w:fill="auto"/>
            <w:vAlign w:val="center"/>
          </w:tcPr>
          <w:p w:rsidR="00B34F47" w:rsidRPr="002335BB" w:rsidRDefault="00B34F47" w:rsidP="00A1666E">
            <w:pPr>
              <w:widowControl/>
              <w:suppressAutoHyphens w:val="0"/>
              <w:jc w:val="center"/>
            </w:pPr>
            <w:r w:rsidRPr="002335BB">
              <w:rPr>
                <w:rFonts w:eastAsia="Times New Roman"/>
                <w:color w:val="000000"/>
              </w:rPr>
              <w:t>Количество товара (штук)</w:t>
            </w:r>
          </w:p>
        </w:tc>
      </w:tr>
      <w:tr w:rsidR="00B34F47" w:rsidTr="00A1666E">
        <w:tblPrEx>
          <w:tblCellMar>
            <w:left w:w="0" w:type="dxa"/>
            <w:right w:w="0" w:type="dxa"/>
          </w:tblCellMar>
        </w:tblPrEx>
        <w:trPr>
          <w:trHeight w:val="70"/>
        </w:trPr>
        <w:tc>
          <w:tcPr>
            <w:tcW w:w="15461" w:type="dxa"/>
            <w:gridSpan w:val="7"/>
            <w:shd w:val="clear" w:color="auto" w:fill="auto"/>
            <w:vAlign w:val="center"/>
          </w:tcPr>
          <w:p w:rsidR="00B34F47" w:rsidRDefault="00B34F47" w:rsidP="00A1666E">
            <w:pPr>
              <w:snapToGrid w:val="0"/>
              <w:rPr>
                <w:rFonts w:eastAsia="Times New Roman"/>
                <w:sz w:val="20"/>
                <w:szCs w:val="20"/>
              </w:rPr>
            </w:pPr>
          </w:p>
        </w:tc>
      </w:tr>
      <w:tr w:rsidR="00B34F47" w:rsidRPr="00C41934" w:rsidTr="00A1666E">
        <w:trPr>
          <w:trHeight w:val="315"/>
        </w:trPr>
        <w:tc>
          <w:tcPr>
            <w:tcW w:w="2835" w:type="dxa"/>
            <w:vMerge w:val="restart"/>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Подгузники для детей</w:t>
            </w:r>
          </w:p>
        </w:tc>
        <w:tc>
          <w:tcPr>
            <w:tcW w:w="2127" w:type="dxa"/>
            <w:shd w:val="clear" w:color="auto" w:fill="auto"/>
            <w:vAlign w:val="center"/>
          </w:tcPr>
          <w:p w:rsidR="00B34F47" w:rsidRDefault="00B34F47" w:rsidP="00A1666E">
            <w:pPr>
              <w:widowControl/>
              <w:suppressAutoHyphens w:val="0"/>
              <w:jc w:val="center"/>
              <w:rPr>
                <w:rFonts w:eastAsia="Times New Roman"/>
              </w:rPr>
            </w:pPr>
            <w:r>
              <w:rPr>
                <w:rFonts w:eastAsia="Times New Roman"/>
              </w:rPr>
              <w:t>До 6*</w:t>
            </w:r>
          </w:p>
        </w:tc>
        <w:tc>
          <w:tcPr>
            <w:tcW w:w="1984" w:type="dxa"/>
            <w:shd w:val="clear" w:color="auto" w:fill="auto"/>
            <w:vAlign w:val="center"/>
          </w:tcPr>
          <w:p w:rsidR="00B34F47" w:rsidRDefault="00B34F47" w:rsidP="00A1666E">
            <w:pPr>
              <w:widowControl/>
              <w:suppressAutoHyphens w:val="0"/>
              <w:jc w:val="center"/>
              <w:rPr>
                <w:rFonts w:eastAsia="Times New Roman"/>
              </w:rPr>
            </w:pPr>
            <w:r>
              <w:t>"Мини"</w:t>
            </w:r>
          </w:p>
        </w:tc>
        <w:tc>
          <w:tcPr>
            <w:tcW w:w="1559"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менее</w:t>
            </w:r>
            <w:r>
              <w:rPr>
                <w:rFonts w:eastAsia="Times New Roman"/>
              </w:rPr>
              <w:t xml:space="preserve"> 160</w:t>
            </w:r>
          </w:p>
        </w:tc>
        <w:tc>
          <w:tcPr>
            <w:tcW w:w="1985"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более</w:t>
            </w:r>
            <w:r>
              <w:rPr>
                <w:rFonts w:eastAsia="Times New Roman"/>
              </w:rPr>
              <w:t xml:space="preserve"> 0,4</w:t>
            </w:r>
          </w:p>
        </w:tc>
        <w:tc>
          <w:tcPr>
            <w:tcW w:w="2613" w:type="dxa"/>
            <w:shd w:val="clear" w:color="auto" w:fill="auto"/>
            <w:vAlign w:val="center"/>
          </w:tcPr>
          <w:p w:rsidR="00B34F47" w:rsidRDefault="00B34F47" w:rsidP="00A1666E">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358" w:type="dxa"/>
            <w:shd w:val="clear" w:color="auto" w:fill="auto"/>
            <w:vAlign w:val="center"/>
          </w:tcPr>
          <w:p w:rsidR="00B34F47" w:rsidRPr="00C41934" w:rsidRDefault="00B34F47" w:rsidP="00A1666E">
            <w:pPr>
              <w:widowControl/>
              <w:suppressAutoHyphens w:val="0"/>
              <w:jc w:val="center"/>
            </w:pPr>
            <w:r>
              <w:t>500</w:t>
            </w:r>
          </w:p>
        </w:tc>
      </w:tr>
      <w:tr w:rsidR="00B34F47" w:rsidRPr="00C41934" w:rsidTr="00A1666E">
        <w:trPr>
          <w:trHeight w:val="315"/>
        </w:trPr>
        <w:tc>
          <w:tcPr>
            <w:tcW w:w="2835" w:type="dxa"/>
            <w:vMerge/>
            <w:shd w:val="clear" w:color="auto" w:fill="auto"/>
            <w:vAlign w:val="center"/>
          </w:tcPr>
          <w:p w:rsidR="00B34F47" w:rsidRDefault="00B34F47" w:rsidP="00A1666E">
            <w:pPr>
              <w:widowControl/>
              <w:suppressAutoHyphens w:val="0"/>
              <w:snapToGrid w:val="0"/>
              <w:rPr>
                <w:rFonts w:eastAsia="Times New Roman"/>
                <w:color w:val="000000"/>
                <w:sz w:val="20"/>
                <w:szCs w:val="20"/>
              </w:rPr>
            </w:pPr>
          </w:p>
        </w:tc>
        <w:tc>
          <w:tcPr>
            <w:tcW w:w="2127" w:type="dxa"/>
            <w:shd w:val="clear" w:color="auto" w:fill="auto"/>
            <w:vAlign w:val="center"/>
          </w:tcPr>
          <w:p w:rsidR="00B34F47" w:rsidRDefault="00B34F47" w:rsidP="00A1666E">
            <w:pPr>
              <w:widowControl/>
              <w:suppressAutoHyphens w:val="0"/>
              <w:jc w:val="center"/>
              <w:rPr>
                <w:rFonts w:eastAsia="Times New Roman"/>
              </w:rPr>
            </w:pPr>
            <w:r>
              <w:rPr>
                <w:rFonts w:eastAsia="Times New Roman"/>
              </w:rPr>
              <w:t>До 9*</w:t>
            </w:r>
          </w:p>
        </w:tc>
        <w:tc>
          <w:tcPr>
            <w:tcW w:w="1984" w:type="dxa"/>
            <w:shd w:val="clear" w:color="auto" w:fill="auto"/>
            <w:vAlign w:val="center"/>
          </w:tcPr>
          <w:p w:rsidR="00B34F47" w:rsidRDefault="00B34F47" w:rsidP="00A1666E">
            <w:pPr>
              <w:widowControl/>
              <w:suppressAutoHyphens w:val="0"/>
              <w:jc w:val="center"/>
              <w:rPr>
                <w:rFonts w:eastAsia="Times New Roman"/>
              </w:rPr>
            </w:pPr>
            <w:r>
              <w:t>"Миди"</w:t>
            </w:r>
          </w:p>
        </w:tc>
        <w:tc>
          <w:tcPr>
            <w:tcW w:w="1559"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менее</w:t>
            </w:r>
            <w:r>
              <w:rPr>
                <w:rFonts w:eastAsia="Times New Roman"/>
              </w:rPr>
              <w:t xml:space="preserve"> 240</w:t>
            </w:r>
          </w:p>
        </w:tc>
        <w:tc>
          <w:tcPr>
            <w:tcW w:w="1985"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более</w:t>
            </w:r>
            <w:r>
              <w:rPr>
                <w:rFonts w:eastAsia="Times New Roman"/>
              </w:rPr>
              <w:t xml:space="preserve"> 6</w:t>
            </w:r>
          </w:p>
        </w:tc>
        <w:tc>
          <w:tcPr>
            <w:tcW w:w="2613" w:type="dxa"/>
            <w:shd w:val="clear" w:color="auto" w:fill="auto"/>
            <w:vAlign w:val="center"/>
          </w:tcPr>
          <w:p w:rsidR="00B34F47" w:rsidRDefault="00B34F47" w:rsidP="00A1666E">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358" w:type="dxa"/>
            <w:shd w:val="clear" w:color="auto" w:fill="auto"/>
            <w:vAlign w:val="center"/>
          </w:tcPr>
          <w:p w:rsidR="00B34F47" w:rsidRPr="00C41934" w:rsidRDefault="00B34F47" w:rsidP="00A1666E">
            <w:pPr>
              <w:widowControl/>
              <w:suppressAutoHyphens w:val="0"/>
              <w:jc w:val="center"/>
            </w:pPr>
            <w:r>
              <w:t>4000</w:t>
            </w:r>
          </w:p>
        </w:tc>
      </w:tr>
      <w:tr w:rsidR="00B34F47" w:rsidRPr="00C41934" w:rsidTr="00A1666E">
        <w:trPr>
          <w:trHeight w:val="315"/>
        </w:trPr>
        <w:tc>
          <w:tcPr>
            <w:tcW w:w="2835" w:type="dxa"/>
            <w:vMerge/>
            <w:shd w:val="clear" w:color="auto" w:fill="auto"/>
            <w:vAlign w:val="center"/>
          </w:tcPr>
          <w:p w:rsidR="00B34F47" w:rsidRDefault="00B34F47" w:rsidP="00A1666E">
            <w:pPr>
              <w:widowControl/>
              <w:suppressAutoHyphens w:val="0"/>
              <w:snapToGrid w:val="0"/>
              <w:rPr>
                <w:rFonts w:eastAsia="Times New Roman"/>
                <w:color w:val="000000"/>
                <w:sz w:val="20"/>
                <w:szCs w:val="20"/>
              </w:rPr>
            </w:pPr>
          </w:p>
        </w:tc>
        <w:tc>
          <w:tcPr>
            <w:tcW w:w="2127" w:type="dxa"/>
            <w:shd w:val="clear" w:color="auto" w:fill="auto"/>
            <w:vAlign w:val="center"/>
          </w:tcPr>
          <w:p w:rsidR="00B34F47" w:rsidRDefault="00B34F47" w:rsidP="00A1666E">
            <w:pPr>
              <w:widowControl/>
              <w:suppressAutoHyphens w:val="0"/>
              <w:jc w:val="center"/>
              <w:rPr>
                <w:rFonts w:eastAsia="Times New Roman"/>
              </w:rPr>
            </w:pPr>
            <w:r>
              <w:rPr>
                <w:rFonts w:eastAsia="Times New Roman"/>
              </w:rPr>
              <w:t>До 20*</w:t>
            </w:r>
          </w:p>
          <w:p w:rsidR="00B34F47" w:rsidRDefault="00B34F47" w:rsidP="00A1666E">
            <w:pPr>
              <w:widowControl/>
              <w:suppressAutoHyphens w:val="0"/>
              <w:jc w:val="center"/>
              <w:rPr>
                <w:rFonts w:eastAsia="Times New Roman"/>
              </w:rPr>
            </w:pPr>
          </w:p>
        </w:tc>
        <w:tc>
          <w:tcPr>
            <w:tcW w:w="1984" w:type="dxa"/>
            <w:shd w:val="clear" w:color="auto" w:fill="auto"/>
            <w:vAlign w:val="center"/>
          </w:tcPr>
          <w:p w:rsidR="00B34F47" w:rsidRDefault="00B34F47" w:rsidP="00A1666E">
            <w:pPr>
              <w:widowControl/>
              <w:suppressAutoHyphens w:val="0"/>
              <w:jc w:val="center"/>
              <w:rPr>
                <w:rFonts w:eastAsia="Times New Roman"/>
              </w:rPr>
            </w:pPr>
            <w:r>
              <w:t>"Макси", "Макси+"</w:t>
            </w:r>
          </w:p>
        </w:tc>
        <w:tc>
          <w:tcPr>
            <w:tcW w:w="1559"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менее</w:t>
            </w:r>
            <w:r>
              <w:rPr>
                <w:rFonts w:eastAsia="Times New Roman"/>
              </w:rPr>
              <w:t xml:space="preserve"> 270</w:t>
            </w:r>
          </w:p>
        </w:tc>
        <w:tc>
          <w:tcPr>
            <w:tcW w:w="1985"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более</w:t>
            </w:r>
            <w:r>
              <w:rPr>
                <w:rFonts w:eastAsia="Times New Roman"/>
              </w:rPr>
              <w:t xml:space="preserve"> 14</w:t>
            </w:r>
          </w:p>
        </w:tc>
        <w:tc>
          <w:tcPr>
            <w:tcW w:w="2613" w:type="dxa"/>
            <w:shd w:val="clear" w:color="auto" w:fill="auto"/>
            <w:vAlign w:val="center"/>
          </w:tcPr>
          <w:p w:rsidR="00B34F47" w:rsidRDefault="00B34F47" w:rsidP="00A1666E">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358" w:type="dxa"/>
            <w:shd w:val="clear" w:color="auto" w:fill="auto"/>
            <w:vAlign w:val="center"/>
          </w:tcPr>
          <w:p w:rsidR="00B34F47" w:rsidRPr="00C41934" w:rsidRDefault="00B34F47" w:rsidP="00A1666E">
            <w:pPr>
              <w:widowControl/>
              <w:suppressAutoHyphens w:val="0"/>
              <w:jc w:val="center"/>
            </w:pPr>
            <w:r>
              <w:t>285000</w:t>
            </w:r>
          </w:p>
        </w:tc>
      </w:tr>
      <w:tr w:rsidR="00B34F47" w:rsidRPr="00C41934" w:rsidTr="00A1666E">
        <w:trPr>
          <w:trHeight w:val="315"/>
        </w:trPr>
        <w:tc>
          <w:tcPr>
            <w:tcW w:w="2835" w:type="dxa"/>
            <w:vMerge/>
            <w:shd w:val="clear" w:color="auto" w:fill="auto"/>
            <w:vAlign w:val="center"/>
          </w:tcPr>
          <w:p w:rsidR="00B34F47" w:rsidRDefault="00B34F47" w:rsidP="00A1666E">
            <w:pPr>
              <w:widowControl/>
              <w:suppressAutoHyphens w:val="0"/>
              <w:snapToGrid w:val="0"/>
              <w:rPr>
                <w:rFonts w:eastAsia="Times New Roman"/>
                <w:color w:val="000000"/>
                <w:sz w:val="20"/>
                <w:szCs w:val="20"/>
              </w:rPr>
            </w:pPr>
          </w:p>
        </w:tc>
        <w:tc>
          <w:tcPr>
            <w:tcW w:w="2127" w:type="dxa"/>
            <w:shd w:val="clear" w:color="auto" w:fill="auto"/>
            <w:vAlign w:val="center"/>
          </w:tcPr>
          <w:p w:rsidR="00B34F47" w:rsidRDefault="00B34F47" w:rsidP="00A1666E">
            <w:pPr>
              <w:widowControl/>
              <w:suppressAutoHyphens w:val="0"/>
              <w:jc w:val="center"/>
              <w:rPr>
                <w:rFonts w:eastAsia="Times New Roman"/>
              </w:rPr>
            </w:pPr>
            <w:r>
              <w:rPr>
                <w:rFonts w:eastAsia="Times New Roman"/>
              </w:rPr>
              <w:t>Свыше 20*</w:t>
            </w:r>
          </w:p>
        </w:tc>
        <w:tc>
          <w:tcPr>
            <w:tcW w:w="1984" w:type="dxa"/>
            <w:shd w:val="clear" w:color="auto" w:fill="auto"/>
            <w:vAlign w:val="center"/>
          </w:tcPr>
          <w:p w:rsidR="00B34F47" w:rsidRDefault="00B34F47" w:rsidP="00A1666E">
            <w:pPr>
              <w:widowControl/>
              <w:suppressAutoHyphens w:val="0"/>
              <w:jc w:val="center"/>
              <w:rPr>
                <w:rFonts w:eastAsia="Times New Roman"/>
              </w:rPr>
            </w:pPr>
            <w:r>
              <w:t>"Юниор"</w:t>
            </w:r>
          </w:p>
        </w:tc>
        <w:tc>
          <w:tcPr>
            <w:tcW w:w="1559"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менее</w:t>
            </w:r>
            <w:r>
              <w:rPr>
                <w:rFonts w:eastAsia="Times New Roman"/>
              </w:rPr>
              <w:t xml:space="preserve"> 280</w:t>
            </w:r>
          </w:p>
        </w:tc>
        <w:tc>
          <w:tcPr>
            <w:tcW w:w="1985" w:type="dxa"/>
            <w:shd w:val="clear" w:color="auto" w:fill="auto"/>
            <w:vAlign w:val="center"/>
          </w:tcPr>
          <w:p w:rsidR="00B34F47" w:rsidRDefault="00B34F47" w:rsidP="00A1666E">
            <w:pPr>
              <w:widowControl/>
              <w:suppressAutoHyphens w:val="0"/>
              <w:jc w:val="center"/>
              <w:rPr>
                <w:rFonts w:eastAsia="Times New Roman"/>
              </w:rPr>
            </w:pPr>
            <w:r>
              <w:rPr>
                <w:rFonts w:eastAsia="Times New Roman"/>
                <w:color w:val="000000"/>
              </w:rPr>
              <w:t>не более</w:t>
            </w:r>
            <w:r>
              <w:rPr>
                <w:rFonts w:eastAsia="Times New Roman"/>
              </w:rPr>
              <w:t xml:space="preserve"> 16</w:t>
            </w:r>
          </w:p>
        </w:tc>
        <w:tc>
          <w:tcPr>
            <w:tcW w:w="2613" w:type="dxa"/>
            <w:shd w:val="clear" w:color="auto" w:fill="auto"/>
            <w:vAlign w:val="center"/>
          </w:tcPr>
          <w:p w:rsidR="00B34F47" w:rsidRDefault="00B34F47" w:rsidP="00A1666E">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358" w:type="dxa"/>
            <w:shd w:val="clear" w:color="auto" w:fill="auto"/>
            <w:vAlign w:val="center"/>
          </w:tcPr>
          <w:p w:rsidR="00B34F47" w:rsidRPr="00C41934" w:rsidRDefault="00B34F47" w:rsidP="00A1666E">
            <w:pPr>
              <w:widowControl/>
              <w:suppressAutoHyphens w:val="0"/>
              <w:jc w:val="center"/>
            </w:pPr>
            <w:r>
              <w:t>205000</w:t>
            </w:r>
          </w:p>
        </w:tc>
      </w:tr>
      <w:tr w:rsidR="00B34F47" w:rsidTr="00A1666E">
        <w:trPr>
          <w:trHeight w:val="630"/>
        </w:trPr>
        <w:tc>
          <w:tcPr>
            <w:tcW w:w="2835"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Основание</w:t>
            </w:r>
          </w:p>
        </w:tc>
        <w:tc>
          <w:tcPr>
            <w:tcW w:w="2127"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 </w:t>
            </w:r>
          </w:p>
        </w:tc>
        <w:tc>
          <w:tcPr>
            <w:tcW w:w="1984"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ГОСТ Р 52557-2011</w:t>
            </w:r>
          </w:p>
        </w:tc>
        <w:tc>
          <w:tcPr>
            <w:tcW w:w="1559"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По 7.3 ГОСТ Р 52557-2011</w:t>
            </w:r>
          </w:p>
        </w:tc>
        <w:tc>
          <w:tcPr>
            <w:tcW w:w="1985"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По 7.4 ГОСТ Р 52557-2011</w:t>
            </w:r>
          </w:p>
        </w:tc>
        <w:tc>
          <w:tcPr>
            <w:tcW w:w="2613" w:type="dxa"/>
            <w:shd w:val="clear" w:color="auto" w:fill="auto"/>
            <w:vAlign w:val="center"/>
          </w:tcPr>
          <w:p w:rsidR="00B34F47" w:rsidRDefault="00B34F47" w:rsidP="00A1666E">
            <w:pPr>
              <w:widowControl/>
              <w:suppressAutoHyphens w:val="0"/>
              <w:rPr>
                <w:rFonts w:eastAsia="Times New Roman"/>
                <w:color w:val="000000"/>
              </w:rPr>
            </w:pPr>
            <w:r>
              <w:rPr>
                <w:rFonts w:eastAsia="Times New Roman"/>
                <w:color w:val="000000"/>
              </w:rPr>
              <w:t>По 7.5 ГОСТ Р 52557-2011</w:t>
            </w:r>
          </w:p>
        </w:tc>
        <w:tc>
          <w:tcPr>
            <w:tcW w:w="2358" w:type="dxa"/>
            <w:shd w:val="clear" w:color="auto" w:fill="auto"/>
            <w:vAlign w:val="center"/>
          </w:tcPr>
          <w:p w:rsidR="00B34F47" w:rsidRDefault="00B34F47" w:rsidP="00A1666E">
            <w:pPr>
              <w:widowControl/>
              <w:suppressAutoHyphens w:val="0"/>
            </w:pPr>
            <w:r>
              <w:rPr>
                <w:rFonts w:eastAsia="Times New Roman"/>
                <w:color w:val="000000"/>
              </w:rPr>
              <w:t> </w:t>
            </w:r>
          </w:p>
        </w:tc>
      </w:tr>
    </w:tbl>
    <w:p w:rsidR="00B34F47" w:rsidRDefault="00B34F47" w:rsidP="00B34F47">
      <w:pPr>
        <w:ind w:firstLine="709"/>
        <w:jc w:val="both"/>
        <w:rPr>
          <w:b/>
        </w:rPr>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B34F47" w:rsidRDefault="00B34F47" w:rsidP="00B34F47">
      <w:pPr>
        <w:ind w:firstLine="709"/>
        <w:jc w:val="both"/>
        <w:rPr>
          <w:b/>
          <w:bCs/>
          <w:u w:val="single"/>
        </w:rPr>
      </w:pPr>
    </w:p>
    <w:p w:rsidR="00B34F47" w:rsidRDefault="00B34F47" w:rsidP="00B34F47">
      <w:pPr>
        <w:pStyle w:val="western"/>
        <w:ind w:firstLine="709"/>
      </w:pPr>
      <w:r>
        <w:rPr>
          <w:b/>
          <w:bCs/>
          <w:u w:val="single"/>
        </w:rPr>
        <w:t>Требования к качеству и безопасности товара:</w:t>
      </w:r>
    </w:p>
    <w:p w:rsidR="00B34F47" w:rsidRDefault="00B34F47" w:rsidP="00B34F47">
      <w:pPr>
        <w:pStyle w:val="western"/>
        <w:ind w:firstLine="709"/>
        <w:jc w:val="both"/>
      </w:pPr>
      <w:r>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 Подгузники должны соответствовать требованию стандарта ГОСТ Р 52557-2011 «Подгузники детские бумажные. Общие технические условия».</w:t>
      </w:r>
    </w:p>
    <w:p w:rsidR="00B34F47" w:rsidRDefault="00B34F47" w:rsidP="00B34F47">
      <w:pPr>
        <w:pStyle w:val="a8"/>
        <w:ind w:left="0" w:firstLine="567"/>
        <w:jc w:val="both"/>
      </w:pPr>
      <w:r>
        <w:t xml:space="preserve">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w:t>
      </w:r>
      <w:r>
        <w:lastRenderedPageBreak/>
        <w:t>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B34F47" w:rsidRPr="009B7E0B" w:rsidRDefault="00B34F47" w:rsidP="00B34F47">
      <w:pPr>
        <w:pStyle w:val="a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34F47" w:rsidRPr="009B7E0B" w:rsidRDefault="00B34F47" w:rsidP="00B34F47">
      <w:pPr>
        <w:pStyle w:val="western"/>
        <w:ind w:firstLine="709"/>
        <w:jc w:val="both"/>
      </w:pPr>
      <w:r w:rsidRPr="009B7E0B">
        <w:t>Печатное изображение на подгузниках четкое без искажений и пробелов и содержать информацию о наименовании изделия, размере и впитываемости в точном соответствии с информацией на упаковке. Не допускаются следы выщипывания волокон с поверхности подгузника и отмарывания краски.</w:t>
      </w:r>
    </w:p>
    <w:p w:rsidR="00B34F47" w:rsidRDefault="00B34F47" w:rsidP="00B34F47">
      <w:pPr>
        <w:pStyle w:val="western"/>
        <w:ind w:firstLine="709"/>
      </w:pPr>
      <w:r>
        <w:rPr>
          <w:b/>
          <w:bCs/>
          <w:u w:val="single"/>
        </w:rPr>
        <w:t>Требования к размерам, упаковке, отгрузке товара:</w:t>
      </w:r>
    </w:p>
    <w:p w:rsidR="00B34F47" w:rsidRDefault="00B34F47" w:rsidP="00B34F47">
      <w:pPr>
        <w:pStyle w:val="western"/>
        <w:ind w:firstLine="709"/>
      </w:pPr>
      <w:r>
        <w:t>Маркировка упаковки должна включать:</w:t>
      </w:r>
    </w:p>
    <w:p w:rsidR="00B34F47" w:rsidRDefault="00B34F47" w:rsidP="00B34F47">
      <w:pPr>
        <w:pStyle w:val="western"/>
        <w:ind w:firstLine="709"/>
      </w:pPr>
      <w:r>
        <w:t>-условное обозначение группы товара, товарную марку (при наличии)</w:t>
      </w:r>
    </w:p>
    <w:p w:rsidR="00B34F47" w:rsidRDefault="00B34F47" w:rsidP="00B34F47">
      <w:pPr>
        <w:pStyle w:val="western"/>
        <w:ind w:firstLine="709"/>
      </w:pPr>
      <w:r>
        <w:t>-обозначение номера изделия (при наличии)</w:t>
      </w:r>
    </w:p>
    <w:p w:rsidR="00B34F47" w:rsidRDefault="00B34F47" w:rsidP="00B34F47">
      <w:pPr>
        <w:pStyle w:val="western"/>
        <w:ind w:firstLine="709"/>
      </w:pPr>
      <w:r>
        <w:t>-обозначение впитываемости изделия</w:t>
      </w:r>
    </w:p>
    <w:p w:rsidR="00B34F47" w:rsidRDefault="00B34F47" w:rsidP="00B34F47">
      <w:pPr>
        <w:pStyle w:val="western"/>
        <w:ind w:firstLine="709"/>
      </w:pPr>
      <w:r>
        <w:t>-страну-изготовителя</w:t>
      </w:r>
    </w:p>
    <w:p w:rsidR="00B34F47" w:rsidRDefault="00B34F47" w:rsidP="00B34F47">
      <w:pPr>
        <w:pStyle w:val="western"/>
        <w:ind w:firstLine="709"/>
      </w:pPr>
      <w:r>
        <w:t>-наименование предприятия-изготовителя, юридический адрес, товарный знак (при наличии)</w:t>
      </w:r>
    </w:p>
    <w:p w:rsidR="00B34F47" w:rsidRDefault="00B34F47" w:rsidP="00B34F47">
      <w:pPr>
        <w:pStyle w:val="western"/>
        <w:ind w:firstLine="709"/>
      </w:pPr>
      <w:r>
        <w:t>-номер артикула (при наличии)</w:t>
      </w:r>
    </w:p>
    <w:p w:rsidR="00B34F47" w:rsidRDefault="00B34F47" w:rsidP="00B34F47">
      <w:pPr>
        <w:pStyle w:val="western"/>
        <w:ind w:firstLine="709"/>
      </w:pPr>
      <w:r>
        <w:t>-отличительные характеристики подгузников в соответствии с их техническим исполнением (при наличии)</w:t>
      </w:r>
    </w:p>
    <w:p w:rsidR="00B34F47" w:rsidRDefault="00B34F47" w:rsidP="00B34F47">
      <w:pPr>
        <w:pStyle w:val="western"/>
        <w:ind w:firstLine="709"/>
      </w:pPr>
      <w:r>
        <w:t>-количество подгузников в упаковке</w:t>
      </w:r>
    </w:p>
    <w:p w:rsidR="00B34F47" w:rsidRDefault="00B34F47" w:rsidP="00B34F47">
      <w:pPr>
        <w:pStyle w:val="western"/>
        <w:ind w:firstLine="709"/>
      </w:pPr>
      <w:r>
        <w:t>-дату (месяц, год) изготовления</w:t>
      </w:r>
    </w:p>
    <w:p w:rsidR="00B34F47" w:rsidRDefault="00B34F47" w:rsidP="00B34F47">
      <w:pPr>
        <w:pStyle w:val="western"/>
        <w:ind w:firstLine="709"/>
      </w:pPr>
      <w:r>
        <w:t>-гарантийный срок годности</w:t>
      </w:r>
    </w:p>
    <w:p w:rsidR="00B34F47" w:rsidRDefault="00B34F47" w:rsidP="00B34F47">
      <w:pPr>
        <w:pStyle w:val="western"/>
        <w:ind w:firstLine="709"/>
      </w:pPr>
      <w:r>
        <w:t>-указание по утилизации: «Не бросать в канализацию»</w:t>
      </w:r>
    </w:p>
    <w:p w:rsidR="00B34F47" w:rsidRDefault="00B34F47" w:rsidP="00B34F47">
      <w:pPr>
        <w:pStyle w:val="western"/>
        <w:ind w:firstLine="709"/>
      </w:pPr>
      <w:r>
        <w:lastRenderedPageBreak/>
        <w:t>-правила использования в виде картинок или текста (при наличии)</w:t>
      </w:r>
    </w:p>
    <w:p w:rsidR="00B34F47" w:rsidRDefault="00B34F47" w:rsidP="00B34F47">
      <w:pPr>
        <w:pStyle w:val="western"/>
        <w:ind w:firstLine="709"/>
      </w:pPr>
      <w:r>
        <w:t>-штриховой код изделия (при наличии)</w:t>
      </w:r>
    </w:p>
    <w:p w:rsidR="00B34F47" w:rsidRDefault="00B34F47" w:rsidP="00B34F47">
      <w:pPr>
        <w:pStyle w:val="western"/>
        <w:ind w:firstLine="709"/>
      </w:pPr>
      <w:r>
        <w:t>-информацию о сертификации (при наличии)</w:t>
      </w:r>
    </w:p>
    <w:p w:rsidR="00B34F47" w:rsidRDefault="00B34F47" w:rsidP="00B34F47">
      <w:pPr>
        <w:pStyle w:val="western"/>
        <w:ind w:firstLine="709"/>
      </w:pPr>
      <w:r>
        <w:t>- иное.</w:t>
      </w:r>
    </w:p>
    <w:p w:rsidR="00B34F47" w:rsidRPr="009B7E0B" w:rsidRDefault="00B34F47" w:rsidP="00B34F47">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B34F47" w:rsidRDefault="00B34F47" w:rsidP="00B34F47">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B34F47" w:rsidRDefault="00B34F47" w:rsidP="00B34F47">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B34F47" w:rsidRDefault="00B34F47" w:rsidP="00B34F47">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B34F47" w:rsidRDefault="00B34F47" w:rsidP="00B34F47">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B34F47" w:rsidRDefault="00B34F47" w:rsidP="00B34F47">
      <w:pPr>
        <w:ind w:firstLine="708"/>
        <w:jc w:val="both"/>
      </w:pPr>
    </w:p>
    <w:p w:rsidR="00B34F47" w:rsidRPr="00EF3C85" w:rsidRDefault="00B34F47" w:rsidP="00B34F47">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B34F47" w:rsidRPr="00EF3C85" w:rsidRDefault="00B34F47" w:rsidP="00B34F47">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B34F47" w:rsidRPr="00EF3C85" w:rsidRDefault="00B34F47" w:rsidP="00B34F47">
      <w:pPr>
        <w:ind w:firstLine="709"/>
        <w:jc w:val="both"/>
        <w:rPr>
          <w:rFonts w:eastAsia="Lucida Sans Unicode"/>
        </w:rPr>
      </w:pPr>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B34F47" w:rsidRDefault="00B34F47" w:rsidP="00B34F47">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B34F47" w:rsidRPr="00EF3C85" w:rsidRDefault="00B34F47" w:rsidP="00B34F47">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B34F47" w:rsidRPr="00EF3C85" w:rsidRDefault="00B34F47" w:rsidP="00B34F47">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B34F47" w:rsidRPr="00EF3C85" w:rsidRDefault="00B34F47" w:rsidP="00B34F47">
      <w:pPr>
        <w:ind w:firstLine="709"/>
        <w:jc w:val="both"/>
        <w:rPr>
          <w:rFonts w:eastAsia="Lucida Sans Unicode"/>
        </w:rPr>
      </w:pPr>
      <w:r w:rsidRPr="00EF3C85">
        <w:rPr>
          <w:rFonts w:eastAsia="Lucida Sans Unicode"/>
        </w:rPr>
        <w:lastRenderedPageBreak/>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B34F47" w:rsidRPr="00EF3C85" w:rsidRDefault="00B34F47" w:rsidP="00B34F47">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B34F47" w:rsidRPr="00EF3C85" w:rsidRDefault="00B34F47" w:rsidP="00B34F47">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B34F47" w:rsidRPr="00EF3C85" w:rsidRDefault="00B34F47" w:rsidP="00B34F47">
      <w:pPr>
        <w:ind w:firstLine="709"/>
        <w:jc w:val="both"/>
        <w:rPr>
          <w:rFonts w:eastAsia="Lucida Sans Unicode"/>
        </w:rPr>
      </w:pPr>
      <w:r w:rsidRPr="00EF3C85">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B34F47" w:rsidRPr="00EF3C85" w:rsidRDefault="00B34F47" w:rsidP="00B34F47">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B34F47" w:rsidRDefault="00B34F47" w:rsidP="00B34F47">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B34F47" w:rsidRDefault="00B34F47" w:rsidP="00B34F47">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фото-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Предоставить при запросе Заказчика, материал следования автотранспорта доставки изделий системы Глонасс. Предоставить Заказчику документы об оборудовании автотранспорта доставки изделий системой Глонасс,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B34F47" w:rsidRDefault="00B34F47" w:rsidP="00B34F47">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B34F47" w:rsidRPr="009B7E0B" w:rsidRDefault="00B34F47" w:rsidP="00B34F47">
      <w:pPr>
        <w:ind w:firstLine="708"/>
        <w:jc w:val="both"/>
      </w:pPr>
    </w:p>
    <w:p w:rsidR="004C75CF" w:rsidRPr="00615AE8" w:rsidRDefault="00B34F47" w:rsidP="00B34F47">
      <w:r>
        <w:rPr>
          <w:rFonts w:eastAsia="Times New Roman"/>
        </w:rPr>
        <w:br/>
      </w:r>
      <w:bookmarkStart w:id="0" w:name="_GoBack"/>
      <w:bookmarkEnd w:id="0"/>
    </w:p>
    <w:sectPr w:rsidR="004C75CF" w:rsidRPr="00615AE8"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E1" w:rsidRDefault="00946EE1">
      <w:r>
        <w:separator/>
      </w:r>
    </w:p>
  </w:endnote>
  <w:endnote w:type="continuationSeparator" w:id="0">
    <w:p w:rsidR="00946EE1" w:rsidRDefault="0094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B34F4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E1" w:rsidRDefault="00946EE1">
      <w:r>
        <w:separator/>
      </w:r>
    </w:p>
  </w:footnote>
  <w:footnote w:type="continuationSeparator" w:id="0">
    <w:p w:rsidR="00946EE1" w:rsidRDefault="00946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2F59DC"/>
    <w:rsid w:val="0030010F"/>
    <w:rsid w:val="00366146"/>
    <w:rsid w:val="003A2D9B"/>
    <w:rsid w:val="00406968"/>
    <w:rsid w:val="00417FF9"/>
    <w:rsid w:val="00436D5A"/>
    <w:rsid w:val="00466DD8"/>
    <w:rsid w:val="004C75CF"/>
    <w:rsid w:val="004D08F0"/>
    <w:rsid w:val="005A0F8B"/>
    <w:rsid w:val="00615AE8"/>
    <w:rsid w:val="00667D8C"/>
    <w:rsid w:val="00677CDE"/>
    <w:rsid w:val="007D39DB"/>
    <w:rsid w:val="007F73C4"/>
    <w:rsid w:val="0082708F"/>
    <w:rsid w:val="00867FA5"/>
    <w:rsid w:val="00891EC0"/>
    <w:rsid w:val="00894623"/>
    <w:rsid w:val="00901A76"/>
    <w:rsid w:val="00925004"/>
    <w:rsid w:val="00946EE1"/>
    <w:rsid w:val="00A113F2"/>
    <w:rsid w:val="00A40A93"/>
    <w:rsid w:val="00A96E55"/>
    <w:rsid w:val="00AB4F9E"/>
    <w:rsid w:val="00B34F47"/>
    <w:rsid w:val="00B95179"/>
    <w:rsid w:val="00B97FCB"/>
    <w:rsid w:val="00C020F1"/>
    <w:rsid w:val="00C1151D"/>
    <w:rsid w:val="00CB7012"/>
    <w:rsid w:val="00CF7042"/>
    <w:rsid w:val="00D01D22"/>
    <w:rsid w:val="00D540E7"/>
    <w:rsid w:val="00D541DB"/>
    <w:rsid w:val="00D56222"/>
    <w:rsid w:val="00DB00F3"/>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B24B-726E-4450-B1BA-CD169DBB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26</cp:revision>
  <dcterms:created xsi:type="dcterms:W3CDTF">2018-02-13T08:34:00Z</dcterms:created>
  <dcterms:modified xsi:type="dcterms:W3CDTF">2018-03-19T11:16:00Z</dcterms:modified>
</cp:coreProperties>
</file>