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r>
        <w:rPr>
          <w:rFonts w:cs="Times New Roman"/>
          <w:sz w:val="22"/>
          <w:szCs w:val="22"/>
        </w:rPr>
        <w:t>.</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rsidP="005674A0">
            <w:pPr>
              <w:suppressAutoHyphens w:val="0"/>
              <w:jc w:val="center"/>
              <w:rPr>
                <w:rFonts w:cs="Times New Roman"/>
                <w:b/>
                <w:bCs/>
              </w:rPr>
            </w:pPr>
            <w:r>
              <w:rPr>
                <w:rFonts w:cs="Times New Roman"/>
                <w:b/>
                <w:bCs/>
                <w:sz w:val="22"/>
                <w:szCs w:val="22"/>
              </w:rPr>
              <w:t>2</w:t>
            </w:r>
            <w:r w:rsidR="005674A0">
              <w:rPr>
                <w:rFonts w:cs="Times New Roman"/>
                <w:b/>
                <w:bCs/>
                <w:sz w:val="22"/>
                <w:szCs w:val="22"/>
              </w:rPr>
              <w:t>81</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1C6163" w:rsidRDefault="001C6163" w:rsidP="001C6163">
            <w:pPr>
              <w:suppressAutoHyphens w:val="0"/>
              <w:snapToGrid w:val="0"/>
              <w:rPr>
                <w:rFonts w:cs="Times New Roman"/>
                <w:b/>
                <w:sz w:val="22"/>
                <w:szCs w:val="22"/>
              </w:rPr>
            </w:pPr>
            <w:r>
              <w:rPr>
                <w:rFonts w:eastAsia="Andale Sans UI" w:cs="Times New Roman"/>
                <w:sz w:val="22"/>
                <w:szCs w:val="22"/>
                <w:lang w:eastAsia="fa-IR" w:bidi="fa-IR"/>
              </w:rPr>
              <w:t xml:space="preserve">Товар, используемый для оказания услуг: </w:t>
            </w:r>
            <w:r>
              <w:rPr>
                <w:rFonts w:cs="Times New Roman"/>
                <w:b/>
                <w:sz w:val="22"/>
                <w:szCs w:val="22"/>
              </w:rPr>
              <w:t>Слуховой аппарат цифровой заушный сверхмощный</w:t>
            </w:r>
          </w:p>
          <w:p w:rsidR="00C114DD" w:rsidRDefault="001C6163" w:rsidP="001C6163">
            <w:pPr>
              <w:suppressAutoHyphens w:val="0"/>
              <w:snapToGrid w:val="0"/>
              <w:jc w:val="center"/>
              <w:rPr>
                <w:rFonts w:cs="Times New Roman"/>
                <w:color w:val="auto"/>
                <w:lang w:eastAsia="fa-IR" w:bidi="fa-IR"/>
              </w:rPr>
            </w:pPr>
            <w:r>
              <w:rPr>
                <w:rFonts w:eastAsia="Andale Sans UI" w:cs="Times New Roman"/>
                <w:color w:val="auto"/>
                <w:sz w:val="22"/>
                <w:szCs w:val="22"/>
                <w:lang w:eastAsia="fa-IR" w:bidi="fa-IR"/>
              </w:rPr>
              <w:t>(17-05)</w:t>
            </w:r>
          </w:p>
        </w:tc>
        <w:tc>
          <w:tcPr>
            <w:tcW w:w="6848" w:type="dxa"/>
            <w:tcBorders>
              <w:top w:val="single" w:sz="4" w:space="0" w:color="auto"/>
              <w:left w:val="single" w:sz="4" w:space="0" w:color="auto"/>
              <w:bottom w:val="single" w:sz="4" w:space="0" w:color="auto"/>
              <w:right w:val="single" w:sz="4" w:space="0" w:color="auto"/>
            </w:tcBorders>
            <w:vAlign w:val="center"/>
          </w:tcPr>
          <w:p w:rsidR="001C6163" w:rsidRDefault="001C6163" w:rsidP="001C6163">
            <w:pPr>
              <w:keepNext/>
              <w:jc w:val="both"/>
              <w:rPr>
                <w:rFonts w:cs="Times New Roman"/>
                <w:sz w:val="22"/>
                <w:szCs w:val="22"/>
              </w:rPr>
            </w:pPr>
            <w:r>
              <w:rPr>
                <w:rFonts w:cs="Times New Roman"/>
                <w:sz w:val="22"/>
                <w:szCs w:val="22"/>
              </w:rPr>
              <w:t xml:space="preserve">Частотный диапазон: </w:t>
            </w:r>
          </w:p>
          <w:p w:rsidR="001C6163" w:rsidRDefault="001C6163" w:rsidP="001C6163">
            <w:pPr>
              <w:keepNext/>
              <w:jc w:val="both"/>
              <w:rPr>
                <w:rFonts w:cs="Times New Roman"/>
                <w:sz w:val="22"/>
                <w:szCs w:val="22"/>
              </w:rPr>
            </w:pPr>
            <w:r>
              <w:rPr>
                <w:rFonts w:cs="Times New Roman"/>
                <w:sz w:val="22"/>
                <w:szCs w:val="22"/>
              </w:rPr>
              <w:t xml:space="preserve">нижняя граница не более 0,2 кГц </w:t>
            </w:r>
          </w:p>
          <w:p w:rsidR="001C6163" w:rsidRDefault="001C6163" w:rsidP="001C6163">
            <w:pPr>
              <w:keepNext/>
              <w:jc w:val="both"/>
              <w:rPr>
                <w:rFonts w:cs="Times New Roman"/>
                <w:sz w:val="22"/>
                <w:szCs w:val="22"/>
              </w:rPr>
            </w:pPr>
            <w:r>
              <w:rPr>
                <w:rFonts w:cs="Times New Roman"/>
                <w:sz w:val="22"/>
                <w:szCs w:val="22"/>
              </w:rPr>
              <w:t>верхняя граница не менее 4,0 кГц.</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Максимальный ВУЗД 90: не менее 140 дБ </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Максимальное усиление: не менее 80 дБ </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каналов цифровой обработки звука: не менее 5.</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программ прослушивания: не менее 2.</w:t>
            </w:r>
          </w:p>
          <w:p w:rsidR="001C6163" w:rsidRDefault="001C6163" w:rsidP="001C6163">
            <w:pPr>
              <w:keepNext/>
              <w:jc w:val="both"/>
              <w:rPr>
                <w:rFonts w:cs="Times New Roman"/>
                <w:color w:val="00000A"/>
                <w:sz w:val="22"/>
                <w:szCs w:val="22"/>
              </w:rPr>
            </w:pPr>
            <w:r>
              <w:rPr>
                <w:rFonts w:cs="Times New Roman"/>
                <w:color w:val="00000A"/>
                <w:sz w:val="22"/>
                <w:szCs w:val="22"/>
              </w:rPr>
              <w:t>Система динамического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Система шумоподавления: наличие. </w:t>
            </w:r>
          </w:p>
          <w:p w:rsidR="001C6163" w:rsidRDefault="001C6163" w:rsidP="001C6163">
            <w:pPr>
              <w:keepNext/>
              <w:jc w:val="both"/>
              <w:rPr>
                <w:rFonts w:cs="Times New Roman"/>
                <w:color w:val="00000A"/>
                <w:sz w:val="22"/>
                <w:szCs w:val="22"/>
              </w:rPr>
            </w:pPr>
            <w:r>
              <w:rPr>
                <w:rFonts w:cs="Times New Roman"/>
                <w:color w:val="00000A"/>
                <w:sz w:val="22"/>
                <w:szCs w:val="22"/>
              </w:rPr>
              <w:t>Подавление шумов микрофона (тихих шумов):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Аудиовход: наличие</w:t>
            </w:r>
          </w:p>
          <w:p w:rsidR="001C6163" w:rsidRDefault="001C6163" w:rsidP="001C6163">
            <w:pPr>
              <w:keepNext/>
              <w:jc w:val="both"/>
              <w:rPr>
                <w:rFonts w:cs="Times New Roman"/>
                <w:color w:val="00000A"/>
                <w:sz w:val="22"/>
                <w:szCs w:val="22"/>
              </w:rPr>
            </w:pPr>
            <w:r>
              <w:rPr>
                <w:rFonts w:cs="Times New Roman"/>
                <w:color w:val="00000A"/>
                <w:sz w:val="22"/>
                <w:szCs w:val="22"/>
              </w:rPr>
              <w:t>Регулятор громкости (автоматический или ручной):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Индукционная катушка: наличие </w:t>
            </w:r>
          </w:p>
          <w:p w:rsidR="001C6163" w:rsidRDefault="001C6163" w:rsidP="001C6163">
            <w:pPr>
              <w:keepNext/>
              <w:jc w:val="both"/>
              <w:rPr>
                <w:rFonts w:cs="Times New Roman"/>
                <w:color w:val="00000A"/>
                <w:sz w:val="22"/>
                <w:szCs w:val="22"/>
              </w:rPr>
            </w:pPr>
            <w:r>
              <w:rPr>
                <w:rFonts w:cs="Times New Roman"/>
                <w:color w:val="00000A"/>
                <w:sz w:val="22"/>
                <w:szCs w:val="22"/>
              </w:rPr>
              <w:t>Технология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Система подавления внезапных резких звуков: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Адаптивная направленность микрофона: наличие</w:t>
            </w:r>
          </w:p>
          <w:p w:rsidR="001C6163" w:rsidRDefault="001C6163" w:rsidP="001C6163">
            <w:pPr>
              <w:suppressAutoHyphens w:val="0"/>
              <w:snapToGrid w:val="0"/>
              <w:jc w:val="both"/>
              <w:rPr>
                <w:rFonts w:cs="Times New Roman"/>
                <w:color w:val="00000A"/>
                <w:sz w:val="22"/>
                <w:szCs w:val="22"/>
              </w:rPr>
            </w:pPr>
          </w:p>
          <w:p w:rsidR="00C114DD" w:rsidRDefault="001C6163" w:rsidP="001C6163">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firstLine="709"/>
        <w:jc w:val="both"/>
        <w:textAlignment w:val="baseline"/>
        <w:rPr>
          <w:rFonts w:cs="Times New Roman"/>
          <w:sz w:val="22"/>
          <w:szCs w:val="22"/>
        </w:rPr>
      </w:pPr>
      <w:r>
        <w:rPr>
          <w:rFonts w:cs="Times New Roman"/>
          <w:b/>
          <w:bCs/>
          <w:sz w:val="22"/>
          <w:szCs w:val="22"/>
        </w:rPr>
        <w:t xml:space="preserve">Начальная (максимальная) цена контракта: </w:t>
      </w:r>
      <w:r w:rsidR="005674A0">
        <w:rPr>
          <w:rFonts w:cs="Times New Roman"/>
          <w:noProof/>
          <w:sz w:val="22"/>
          <w:szCs w:val="22"/>
        </w:rPr>
        <w:t>2</w:t>
      </w:r>
      <w:r w:rsidR="001C6163">
        <w:rPr>
          <w:rFonts w:cs="Times New Roman"/>
          <w:noProof/>
          <w:sz w:val="22"/>
          <w:szCs w:val="22"/>
        </w:rPr>
        <w:t> </w:t>
      </w:r>
      <w:r w:rsidR="005674A0">
        <w:rPr>
          <w:rFonts w:cs="Times New Roman"/>
          <w:noProof/>
          <w:sz w:val="22"/>
          <w:szCs w:val="22"/>
        </w:rPr>
        <w:t>737</w:t>
      </w:r>
      <w:r w:rsidR="001C6163">
        <w:rPr>
          <w:rFonts w:cs="Times New Roman"/>
          <w:noProof/>
          <w:sz w:val="22"/>
          <w:szCs w:val="22"/>
        </w:rPr>
        <w:t xml:space="preserve"> </w:t>
      </w:r>
      <w:r w:rsidR="005674A0">
        <w:rPr>
          <w:rFonts w:cs="Times New Roman"/>
          <w:noProof/>
          <w:sz w:val="22"/>
          <w:szCs w:val="22"/>
        </w:rPr>
        <w:t>080</w:t>
      </w:r>
      <w:r>
        <w:rPr>
          <w:rFonts w:cs="Times New Roman"/>
          <w:noProof/>
          <w:sz w:val="22"/>
          <w:szCs w:val="22"/>
        </w:rPr>
        <w:t xml:space="preserve"> (</w:t>
      </w:r>
      <w:r w:rsidR="005674A0">
        <w:rPr>
          <w:rFonts w:cs="Times New Roman"/>
          <w:noProof/>
          <w:sz w:val="22"/>
          <w:szCs w:val="22"/>
        </w:rPr>
        <w:t>два</w:t>
      </w:r>
      <w:r>
        <w:rPr>
          <w:rFonts w:cs="Times New Roman"/>
          <w:noProof/>
          <w:sz w:val="22"/>
          <w:szCs w:val="22"/>
        </w:rPr>
        <w:t xml:space="preserve"> миллион</w:t>
      </w:r>
      <w:r w:rsidR="005674A0">
        <w:rPr>
          <w:rFonts w:cs="Times New Roman"/>
          <w:noProof/>
          <w:sz w:val="22"/>
          <w:szCs w:val="22"/>
        </w:rPr>
        <w:t>а</w:t>
      </w:r>
      <w:r>
        <w:rPr>
          <w:rFonts w:cs="Times New Roman"/>
          <w:noProof/>
          <w:sz w:val="22"/>
          <w:szCs w:val="22"/>
        </w:rPr>
        <w:t xml:space="preserve"> </w:t>
      </w:r>
      <w:r w:rsidR="005674A0">
        <w:rPr>
          <w:rFonts w:cs="Times New Roman"/>
          <w:noProof/>
          <w:sz w:val="22"/>
          <w:szCs w:val="22"/>
        </w:rPr>
        <w:t>семьсот тридцать семь</w:t>
      </w:r>
      <w:r>
        <w:rPr>
          <w:rFonts w:cs="Times New Roman"/>
          <w:noProof/>
          <w:sz w:val="22"/>
          <w:szCs w:val="22"/>
        </w:rPr>
        <w:t xml:space="preserve"> тысяч </w:t>
      </w:r>
      <w:r w:rsidR="005674A0">
        <w:rPr>
          <w:rFonts w:cs="Times New Roman"/>
          <w:noProof/>
          <w:sz w:val="22"/>
          <w:szCs w:val="22"/>
        </w:rPr>
        <w:t>восемьдесят</w:t>
      </w:r>
      <w:bookmarkStart w:id="0" w:name="_GoBack"/>
      <w:bookmarkEnd w:id="0"/>
      <w:r w:rsidR="001C6163">
        <w:rPr>
          <w:rFonts w:cs="Times New Roman"/>
          <w:noProof/>
          <w:sz w:val="22"/>
          <w:szCs w:val="22"/>
        </w:rPr>
        <w:t>) рубле</w:t>
      </w:r>
      <w:r w:rsidR="005674A0">
        <w:rPr>
          <w:rFonts w:cs="Times New Roman"/>
          <w:noProof/>
          <w:sz w:val="22"/>
          <w:szCs w:val="22"/>
        </w:rPr>
        <w:t>й 5</w:t>
      </w:r>
      <w:r w:rsidR="001C6163">
        <w:rPr>
          <w:rFonts w:cs="Times New Roman"/>
          <w:noProof/>
          <w:sz w:val="22"/>
          <w:szCs w:val="22"/>
        </w:rPr>
        <w:t>0</w:t>
      </w:r>
      <w:r>
        <w:rPr>
          <w:rFonts w:cs="Times New Roman"/>
          <w:noProof/>
          <w:sz w:val="22"/>
          <w:szCs w:val="22"/>
        </w:rPr>
        <w:t xml:space="preserve"> копеек</w:t>
      </w:r>
      <w:r>
        <w:rPr>
          <w:rFonts w:cs="Times New Roman"/>
          <w:sz w:val="22"/>
          <w:szCs w:val="22"/>
        </w:rPr>
        <w:t>.</w:t>
      </w:r>
    </w:p>
    <w:p w:rsidR="00C114DD" w:rsidRDefault="00C114DD">
      <w:pPr>
        <w:suppressAutoHyphens w:val="0"/>
        <w:overflowPunct w:val="0"/>
        <w:autoSpaceDE w:val="0"/>
        <w:snapToGrid w:val="0"/>
        <w:ind w:firstLine="709"/>
        <w:jc w:val="both"/>
        <w:textAlignment w:val="baseline"/>
        <w:rPr>
          <w:rFonts w:cs="Times New Roman"/>
          <w:b/>
          <w:bCs/>
          <w:sz w:val="22"/>
          <w:szCs w:val="22"/>
        </w:rPr>
      </w:pPr>
      <w:r>
        <w:rPr>
          <w:rFonts w:cs="Times New Roman"/>
          <w:sz w:val="22"/>
          <w:szCs w:val="22"/>
        </w:rPr>
        <w:t xml:space="preserve">В цену контракта включаются все расходы, связанные с оказанием услуг, в </w:t>
      </w:r>
      <w:proofErr w:type="spellStart"/>
      <w:r>
        <w:rPr>
          <w:rFonts w:cs="Times New Roman"/>
          <w:sz w:val="22"/>
          <w:szCs w:val="22"/>
        </w:rPr>
        <w:t>т.ч</w:t>
      </w:r>
      <w:proofErr w:type="spellEnd"/>
      <w:r>
        <w:rPr>
          <w:rFonts w:cs="Times New Roman"/>
          <w:sz w:val="22"/>
          <w:szCs w:val="22"/>
        </w:rPr>
        <w:t xml:space="preserve">. </w:t>
      </w:r>
      <w:r>
        <w:rPr>
          <w:rFonts w:cs="Times New Roman"/>
          <w:sz w:val="22"/>
          <w:szCs w:val="22"/>
          <w:lang w:eastAsia="ar-SA"/>
        </w:rPr>
        <w:t xml:space="preserve">прием </w:t>
      </w:r>
      <w:r>
        <w:rPr>
          <w:rFonts w:cs="Times New Roman"/>
          <w:color w:val="auto"/>
          <w:sz w:val="22"/>
          <w:szCs w:val="22"/>
          <w:lang w:eastAsia="fa-IR" w:bidi="fa-IR"/>
        </w:rPr>
        <w:t xml:space="preserve">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sz w:val="22"/>
          <w:szCs w:val="22"/>
        </w:rPr>
        <w:t xml:space="preserve">, настройка и выдача слухового аппарата </w:t>
      </w:r>
      <w:r>
        <w:rPr>
          <w:rFonts w:cs="Times New Roman"/>
          <w:sz w:val="22"/>
          <w:szCs w:val="22"/>
          <w:lang w:eastAsia="ar-SA"/>
        </w:rPr>
        <w:t>Получателям</w:t>
      </w:r>
      <w:r>
        <w:rPr>
          <w:rFonts w:cs="Times New Roman"/>
          <w:sz w:val="22"/>
          <w:szCs w:val="22"/>
        </w:rPr>
        <w:t xml:space="preserve">, отоскопия уха, </w:t>
      </w:r>
      <w:r>
        <w:rPr>
          <w:rFonts w:cs="Times New Roman"/>
          <w:sz w:val="22"/>
          <w:szCs w:val="22"/>
          <w:lang w:eastAsia="ar-SA"/>
        </w:rPr>
        <w:t xml:space="preserve">обучение правилам </w:t>
      </w:r>
      <w:proofErr w:type="gramStart"/>
      <w:r>
        <w:rPr>
          <w:rFonts w:cs="Times New Roman"/>
          <w:sz w:val="22"/>
          <w:szCs w:val="22"/>
          <w:lang w:eastAsia="ar-SA"/>
        </w:rPr>
        <w:t>пользования</w:t>
      </w:r>
      <w:proofErr w:type="gramEnd"/>
      <w:r>
        <w:rPr>
          <w:rFonts w:cs="Times New Roman"/>
          <w:sz w:val="22"/>
          <w:szCs w:val="22"/>
          <w:lang w:eastAsia="ar-SA"/>
        </w:rPr>
        <w:t xml:space="preserve"> выданным товаром,</w:t>
      </w:r>
      <w:r>
        <w:rPr>
          <w:rFonts w:cs="Times New Roman"/>
          <w:sz w:val="22"/>
          <w:szCs w:val="22"/>
        </w:rPr>
        <w:t xml:space="preserve"> используемого для оказания услуг,</w:t>
      </w:r>
      <w:r>
        <w:rPr>
          <w:rFonts w:cs="Times New Roman"/>
          <w:sz w:val="22"/>
          <w:szCs w:val="22"/>
          <w:lang w:eastAsia="ar-SA"/>
        </w:rPr>
        <w:t xml:space="preserve"> выдача товара</w:t>
      </w:r>
      <w:r>
        <w:rPr>
          <w:rFonts w:cs="Times New Roman"/>
          <w:sz w:val="22"/>
          <w:szCs w:val="22"/>
        </w:rPr>
        <w:t>, используемого для оказания услуг,</w:t>
      </w:r>
      <w:r>
        <w:rPr>
          <w:rFonts w:cs="Times New Roman"/>
          <w:sz w:val="22"/>
          <w:szCs w:val="22"/>
          <w:lang w:eastAsia="ar-SA"/>
        </w:rPr>
        <w:t xml:space="preserve"> Получателю, стоимость товара</w:t>
      </w:r>
      <w:r>
        <w:rPr>
          <w:rFonts w:cs="Times New Roman"/>
          <w:sz w:val="22"/>
          <w:szCs w:val="22"/>
        </w:rPr>
        <w:t>, используемого для оказания услуг,</w:t>
      </w:r>
      <w:r>
        <w:rPr>
          <w:rFonts w:cs="Times New Roman"/>
          <w:sz w:val="22"/>
          <w:szCs w:val="22"/>
          <w:lang w:eastAsia="ar-SA"/>
        </w:rPr>
        <w:t xml:space="preserve"> и материалов, используемых для оказания услуг, налоги, сборы и другие обязательные платежи, в соответствии с действующим законодательством Российской Федерации, затраты на доставку, разгрузку товара</w:t>
      </w:r>
      <w:r>
        <w:rPr>
          <w:rFonts w:cs="Times New Roman"/>
          <w:sz w:val="22"/>
          <w:szCs w:val="22"/>
        </w:rPr>
        <w:t>, используемого для оказания услуг,</w:t>
      </w:r>
      <w:r>
        <w:rPr>
          <w:rFonts w:cs="Times New Roman"/>
          <w:sz w:val="22"/>
          <w:szCs w:val="22"/>
          <w:lang w:eastAsia="ar-SA"/>
        </w:rPr>
        <w:t xml:space="preserve"> до специализированного кабинета, издержки и иные расходы Исполнителя, связанные с исполнением контракта.</w:t>
      </w:r>
      <w:r>
        <w:rPr>
          <w:rFonts w:cs="Times New Roman"/>
          <w:sz w:val="22"/>
          <w:szCs w:val="22"/>
        </w:rPr>
        <w:t xml:space="preserve"> Неучтенные затраты Исполнителя по государственному контракту, связанные с исполнением контракта, но не включенные в предлагаемую цену контракта, не подлежат оплате Заказчиком.</w:t>
      </w:r>
    </w:p>
    <w:p w:rsidR="00C114DD" w:rsidRDefault="00C114DD">
      <w:pPr>
        <w:suppressAutoHyphens w:val="0"/>
        <w:overflowPunct w:val="0"/>
        <w:autoSpaceDE w:val="0"/>
        <w:snapToGrid w:val="0"/>
        <w:ind w:right="-142" w:firstLine="567"/>
        <w:textAlignment w:val="baseline"/>
        <w:rPr>
          <w:rFonts w:cs="Times New Roman"/>
          <w:b/>
          <w:bCs/>
          <w:sz w:val="22"/>
          <w:szCs w:val="22"/>
        </w:rPr>
      </w:pPr>
    </w:p>
    <w:p w:rsidR="00C114DD" w:rsidRDefault="00C114DD">
      <w:pPr>
        <w:suppressAutoHyphens w:val="0"/>
        <w:overflowPunct w:val="0"/>
        <w:autoSpaceDE w:val="0"/>
        <w:snapToGrid w:val="0"/>
        <w:ind w:right="-142" w:firstLine="567"/>
        <w:textAlignment w:val="baseline"/>
        <w:rPr>
          <w:rFonts w:cs="Times New Roman"/>
          <w:b/>
          <w:bCs/>
          <w:sz w:val="22"/>
          <w:szCs w:val="22"/>
        </w:rPr>
      </w:pPr>
      <w:r>
        <w:rPr>
          <w:rFonts w:cs="Times New Roman"/>
          <w:b/>
          <w:bCs/>
          <w:sz w:val="22"/>
          <w:szCs w:val="22"/>
        </w:rPr>
        <w:t>Форма, сроки и порядок оплаты оказанных услуг:</w:t>
      </w:r>
    </w:p>
    <w:p w:rsidR="00C114DD" w:rsidRDefault="00C114DD">
      <w:pPr>
        <w:keepNext/>
        <w:overflowPunct w:val="0"/>
        <w:autoSpaceDE w:val="0"/>
        <w:snapToGrid w:val="0"/>
        <w:spacing w:line="100" w:lineRule="atLeast"/>
        <w:ind w:left="-30" w:right="-1" w:firstLine="739"/>
        <w:jc w:val="both"/>
        <w:textAlignment w:val="baseline"/>
        <w:rPr>
          <w:rFonts w:cs="Times New Roman"/>
          <w:sz w:val="22"/>
          <w:szCs w:val="22"/>
        </w:rPr>
      </w:pPr>
      <w:proofErr w:type="gramStart"/>
      <w:r>
        <w:rPr>
          <w:rFonts w:cs="Times New Roman"/>
          <w:sz w:val="22"/>
          <w:szCs w:val="22"/>
        </w:rPr>
        <w:t>Оплата по контракту осуществляется Заказчиком ежемесячно в безналичной форме путем перечисления денежных средств  не более чем в течение 15 (пятнадцати) рабочих дней с даты получения Заказчиком надлежащим образом оформленных отчетных документов: счета, счета – фактуры*, Реестра оказанных услуг по Контракту, Актов сдачи-приемки оказанных услуг, отрывных талонов к направлениям, копии документов, подтверждающих полномочия представителя Получателя (при необходимости) и подписания Заказчиком Акта оказанных</w:t>
      </w:r>
      <w:proofErr w:type="gramEnd"/>
      <w:r>
        <w:rPr>
          <w:rFonts w:cs="Times New Roman"/>
          <w:sz w:val="22"/>
          <w:szCs w:val="22"/>
        </w:rPr>
        <w:t xml:space="preserve"> услуг в пользу граждан в целях их социального обеспечения.</w:t>
      </w:r>
    </w:p>
    <w:p w:rsidR="00C114DD" w:rsidRDefault="00C114DD">
      <w:pPr>
        <w:suppressAutoHyphens w:val="0"/>
        <w:snapToGrid w:val="0"/>
        <w:ind w:right="-142" w:firstLine="567"/>
        <w:jc w:val="both"/>
        <w:rPr>
          <w:rFonts w:cs="Times New Roman"/>
          <w:i/>
          <w:iCs/>
          <w:color w:val="auto"/>
          <w:sz w:val="22"/>
          <w:szCs w:val="22"/>
          <w:lang w:eastAsia="ru-RU"/>
        </w:rPr>
      </w:pPr>
      <w:r>
        <w:rPr>
          <w:rFonts w:cs="Times New Roman"/>
          <w:i/>
          <w:iCs/>
          <w:sz w:val="22"/>
          <w:szCs w:val="22"/>
        </w:rPr>
        <w:t>*для плательщиков НДС</w:t>
      </w:r>
    </w:p>
    <w:p w:rsidR="00C114DD" w:rsidRDefault="00C114DD">
      <w:pPr>
        <w:suppressAutoHyphens w:val="0"/>
        <w:overflowPunct w:val="0"/>
        <w:autoSpaceDE w:val="0"/>
        <w:snapToGrid w:val="0"/>
        <w:ind w:right="-142"/>
        <w:jc w:val="both"/>
        <w:textAlignment w:val="baseline"/>
        <w:rPr>
          <w:rFonts w:cs="Times New Roman"/>
          <w:i/>
          <w:iCs/>
          <w:kern w:val="2"/>
          <w:sz w:val="22"/>
          <w:szCs w:val="22"/>
        </w:rPr>
      </w:pPr>
    </w:p>
    <w:p w:rsidR="00C114DD" w:rsidRDefault="00C114DD">
      <w:pPr>
        <w:suppressAutoHyphens w:val="0"/>
        <w:overflowPunct w:val="0"/>
        <w:autoSpaceDE w:val="0"/>
        <w:snapToGrid w:val="0"/>
        <w:ind w:right="-142" w:firstLine="567"/>
        <w:jc w:val="both"/>
        <w:textAlignment w:val="baseline"/>
        <w:rPr>
          <w:rFonts w:cs="Times New Roman"/>
          <w:kern w:val="1"/>
          <w:sz w:val="22"/>
          <w:szCs w:val="22"/>
          <w:lang w:eastAsia="ar-SA"/>
        </w:rPr>
      </w:pPr>
      <w:r>
        <w:rPr>
          <w:rFonts w:cs="Times New Roman"/>
          <w:b/>
          <w:bCs/>
          <w:sz w:val="22"/>
          <w:szCs w:val="22"/>
        </w:rPr>
        <w:t>Источник финансирования:</w:t>
      </w:r>
      <w:r>
        <w:rPr>
          <w:rFonts w:cs="Times New Roman"/>
          <w:spacing w:val="-1"/>
          <w:sz w:val="22"/>
          <w:szCs w:val="22"/>
        </w:rPr>
        <w:t xml:space="preserve"> </w:t>
      </w:r>
      <w:r>
        <w:rPr>
          <w:rFonts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 вид расходов и соответствующую целевую статью</w:t>
      </w:r>
      <w:r>
        <w:rPr>
          <w:rFonts w:cs="Times New Roman"/>
          <w:spacing w:val="-1"/>
          <w:sz w:val="22"/>
          <w:szCs w:val="22"/>
        </w:rPr>
        <w:t>.</w:t>
      </w:r>
    </w:p>
    <w:p w:rsidR="00C114DD" w:rsidRDefault="00C114DD">
      <w:pPr>
        <w:suppressAutoHyphens w:val="0"/>
        <w:overflowPunct w:val="0"/>
        <w:autoSpaceDE w:val="0"/>
        <w:snapToGrid w:val="0"/>
        <w:ind w:right="-142" w:firstLine="567"/>
        <w:jc w:val="both"/>
        <w:rPr>
          <w:rFonts w:cs="Times New Roman"/>
          <w:b/>
          <w:bCs/>
          <w:sz w:val="22"/>
          <w:szCs w:val="22"/>
        </w:rPr>
      </w:pPr>
    </w:p>
    <w:p w:rsidR="00C114DD" w:rsidRDefault="00C114DD">
      <w:pPr>
        <w:shd w:val="clear" w:color="auto" w:fill="FFFFFF"/>
        <w:tabs>
          <w:tab w:val="left" w:pos="570"/>
        </w:tabs>
        <w:suppressAutoHyphens w:val="0"/>
        <w:snapToGrid w:val="0"/>
        <w:ind w:right="-142"/>
        <w:jc w:val="both"/>
        <w:rPr>
          <w:rFonts w:ascii="Tahoma" w:hAnsi="Tahoma" w:cs="Tahoma"/>
          <w:sz w:val="22"/>
          <w:szCs w:val="22"/>
        </w:rPr>
      </w:pPr>
      <w:r>
        <w:rPr>
          <w:rFonts w:cs="Times New Roman"/>
          <w:b/>
          <w:bCs/>
          <w:color w:val="auto"/>
          <w:sz w:val="22"/>
          <w:szCs w:val="22"/>
          <w:lang w:eastAsia="ar-SA"/>
        </w:rPr>
        <w:t>Обоснование и расчет начальной (максимальной) цены контракта.</w:t>
      </w:r>
      <w:r>
        <w:rPr>
          <w:rFonts w:cs="Times New Roman"/>
          <w:color w:val="auto"/>
          <w:sz w:val="22"/>
          <w:szCs w:val="22"/>
          <w:lang w:eastAsia="ar-SA"/>
        </w:rPr>
        <w:t xml:space="preserve"> </w:t>
      </w:r>
      <w:r>
        <w:rPr>
          <w:rFonts w:cs="Times New Roman"/>
          <w:sz w:val="22"/>
          <w:szCs w:val="22"/>
        </w:rPr>
        <w:t xml:space="preserve">Для расчета </w:t>
      </w:r>
      <w:r>
        <w:rPr>
          <w:rFonts w:eastAsia="TimesNewRomanPSMT" w:cs="Times New Roman"/>
          <w:spacing w:val="-4"/>
          <w:sz w:val="22"/>
          <w:szCs w:val="22"/>
          <w:lang w:eastAsia="ar-SA"/>
        </w:rPr>
        <w:t xml:space="preserve">начальной (максимальной) цены контракта использован </w:t>
      </w:r>
      <w:r>
        <w:rPr>
          <w:rFonts w:cs="Times New Roman"/>
          <w:spacing w:val="-4"/>
          <w:sz w:val="22"/>
          <w:szCs w:val="22"/>
          <w:lang w:eastAsia="ar-SA"/>
        </w:rPr>
        <w:t xml:space="preserve">метод сопоставимых рыночных цен (анализа рынка), приоритетный на основании закона. </w:t>
      </w:r>
      <w:r>
        <w:rPr>
          <w:rFonts w:eastAsia="TimesNewRomanPSMT" w:cs="Times New Roman"/>
          <w:spacing w:val="-4"/>
          <w:sz w:val="22"/>
          <w:szCs w:val="22"/>
          <w:lang w:eastAsia="ar-SA"/>
        </w:rPr>
        <w:t>Источником информации о ценах послужили данные ранее заключенных государственных контрактом, исполненных без штрафных санкций.</w:t>
      </w:r>
    </w:p>
    <w:p w:rsidR="00C114DD" w:rsidRDefault="00C114DD">
      <w:pPr>
        <w:shd w:val="clear" w:color="auto" w:fill="FFFFFF"/>
        <w:tabs>
          <w:tab w:val="left" w:pos="-3170"/>
        </w:tabs>
        <w:suppressAutoHyphens w:val="0"/>
        <w:ind w:right="-142" w:firstLine="567"/>
        <w:jc w:val="both"/>
        <w:rPr>
          <w:rFonts w:cs="Times New Roman"/>
          <w:color w:val="auto"/>
          <w:spacing w:val="-4"/>
          <w:sz w:val="22"/>
          <w:szCs w:val="22"/>
          <w:lang w:eastAsia="ar-SA"/>
        </w:rPr>
      </w:pPr>
    </w:p>
    <w:p w:rsidR="00C114DD" w:rsidRDefault="00C114DD">
      <w:pPr>
        <w:shd w:val="clear" w:color="auto" w:fill="FFFFFF"/>
        <w:suppressAutoHyphens w:val="0"/>
        <w:ind w:right="-142" w:firstLine="567"/>
        <w:textAlignment w:val="baseline"/>
        <w:rPr>
          <w:rFonts w:cs="Times New Roman"/>
          <w:sz w:val="22"/>
          <w:szCs w:val="22"/>
          <w:lang w:eastAsia="ru-RU"/>
        </w:rPr>
      </w:pPr>
      <w:r>
        <w:rPr>
          <w:rFonts w:cs="Times New Roman"/>
          <w:sz w:val="22"/>
          <w:szCs w:val="22"/>
          <w:lang w:eastAsia="ru-RU"/>
        </w:rPr>
        <w:t>НМЦК методом сопоставимых рыночных цен (анализа рынка) определяется по формуле:</w:t>
      </w:r>
    </w:p>
    <w:p w:rsidR="00C114DD" w:rsidRDefault="003665DC">
      <w:pPr>
        <w:shd w:val="clear" w:color="auto" w:fill="FFFFFF"/>
        <w:suppressAutoHyphens w:val="0"/>
        <w:ind w:right="-142" w:firstLine="567"/>
        <w:jc w:val="center"/>
        <w:textAlignment w:val="baseline"/>
        <w:rPr>
          <w:rFonts w:cs="Times New Roman"/>
          <w:sz w:val="22"/>
          <w:szCs w:val="22"/>
          <w:lang w:eastAsia="ru-RU"/>
        </w:rPr>
      </w:pPr>
      <w:r>
        <w:rPr>
          <w:rFonts w:cs="Times New Roman"/>
          <w:noProof/>
          <w:sz w:val="22"/>
          <w:szCs w:val="22"/>
          <w:lang w:eastAsia="ru-RU"/>
        </w:rPr>
        <w:drawing>
          <wp:inline distT="0" distB="0" distL="0" distR="0">
            <wp:extent cx="1609725" cy="39052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C114DD">
        <w:rPr>
          <w:rFonts w:cs="Times New Roman"/>
          <w:sz w:val="22"/>
          <w:szCs w:val="22"/>
          <w:lang w:eastAsia="ru-RU"/>
        </w:rPr>
        <w:t>,</w:t>
      </w:r>
    </w:p>
    <w:p w:rsidR="00C114DD" w:rsidRDefault="00C114DD">
      <w:pPr>
        <w:shd w:val="clear" w:color="auto" w:fill="FFFFFF"/>
        <w:suppressAutoHyphens w:val="0"/>
        <w:ind w:right="-142" w:firstLine="567"/>
        <w:textAlignment w:val="baseline"/>
        <w:rPr>
          <w:rFonts w:cs="Times New Roman"/>
          <w:sz w:val="22"/>
          <w:szCs w:val="22"/>
          <w:lang w:eastAsia="ru-RU"/>
        </w:rPr>
      </w:pPr>
      <w:proofErr w:type="gramStart"/>
      <w:r>
        <w:rPr>
          <w:rFonts w:cs="Times New Roman"/>
          <w:sz w:val="22"/>
          <w:szCs w:val="22"/>
          <w:lang w:eastAsia="ru-RU"/>
        </w:rPr>
        <w:t>где:</w:t>
      </w:r>
      <w:r w:rsidR="003665DC">
        <w:rPr>
          <w:rFonts w:cs="Times New Roman"/>
          <w:noProof/>
          <w:sz w:val="22"/>
          <w:szCs w:val="22"/>
          <w:lang w:eastAsia="ru-RU"/>
        </w:rPr>
        <w:drawing>
          <wp:inline distT="0" distB="0" distL="0" distR="0">
            <wp:extent cx="1333500" cy="2571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rFonts w:cs="Times New Roman"/>
          <w:sz w:val="22"/>
          <w:szCs w:val="22"/>
          <w:lang w:eastAsia="ru-RU"/>
        </w:rPr>
        <w:t>, определяемая методом сопоставимых рыночных цен (анализа рынка);</w:t>
      </w:r>
      <w:r w:rsidR="003665DC">
        <w:rPr>
          <w:rFonts w:cs="Times New Roman"/>
          <w:noProof/>
          <w:sz w:val="22"/>
          <w:szCs w:val="22"/>
          <w:lang w:eastAsia="ru-RU"/>
        </w:rPr>
        <w:drawing>
          <wp:inline distT="0" distB="0" distL="0" distR="0">
            <wp:extent cx="123825" cy="142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(объем) закупаемого товара (работы, услуги);</w:t>
      </w:r>
      <w:r w:rsidR="003665DC">
        <w:rPr>
          <w:rFonts w:cs="Times New Roman"/>
          <w:noProof/>
          <w:sz w:val="22"/>
          <w:szCs w:val="22"/>
          <w:lang w:eastAsia="ru-RU"/>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значений, используемых в расчете;</w:t>
      </w:r>
      <w:r w:rsidR="003665DC">
        <w:rPr>
          <w:rFonts w:cs="Times New Roman"/>
          <w:noProof/>
          <w:sz w:val="22"/>
          <w:szCs w:val="22"/>
          <w:lang w:eastAsia="ru-RU"/>
        </w:rPr>
        <w:drawing>
          <wp:inline distT="0" distB="0" distL="0" distR="0">
            <wp:extent cx="85725" cy="1619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 номер источника ценовой информации;</w:t>
      </w:r>
      <w:proofErr w:type="gramEnd"/>
      <w:r w:rsidR="003665DC">
        <w:rPr>
          <w:rFonts w:cs="Times New Roman"/>
          <w:noProof/>
          <w:sz w:val="22"/>
          <w:szCs w:val="22"/>
          <w:lang w:eastAsia="ru-RU"/>
        </w:rPr>
        <w:drawing>
          <wp:inline distT="0" distB="0" distL="0" distR="0">
            <wp:extent cx="200025" cy="219075"/>
            <wp:effectExtent l="0" t="0" r="952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Times New Roman"/>
          <w:sz w:val="22"/>
          <w:szCs w:val="22"/>
          <w:lang w:eastAsia="ru-RU"/>
        </w:rPr>
        <w:t xml:space="preserve"> - </w:t>
      </w:r>
      <w:proofErr w:type="gramStart"/>
      <w:r>
        <w:rPr>
          <w:rFonts w:cs="Times New Roman"/>
          <w:sz w:val="22"/>
          <w:szCs w:val="22"/>
          <w:lang w:eastAsia="ru-RU"/>
        </w:rPr>
        <w:t xml:space="preserve">цена единицы товара, работы, услуги, </w:t>
      </w:r>
      <w:r>
        <w:rPr>
          <w:rFonts w:cs="Times New Roman"/>
          <w:sz w:val="22"/>
          <w:szCs w:val="22"/>
          <w:lang w:eastAsia="ru-RU"/>
        </w:rPr>
        <w:lastRenderedPageBreak/>
        <w:t>представленная в источнике с номером </w:t>
      </w:r>
      <w:r w:rsidR="003665DC">
        <w:rPr>
          <w:rFonts w:cs="Times New Roman"/>
          <w:noProof/>
          <w:sz w:val="22"/>
          <w:szCs w:val="22"/>
          <w:lang w:eastAsia="ru-RU"/>
        </w:rPr>
        <w:drawing>
          <wp:inline distT="0" distB="0" distL="0" distR="0">
            <wp:extent cx="85725" cy="1619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cs="Times New Roman"/>
          <w:sz w:val="22"/>
          <w:szCs w:val="22"/>
          <w:lang w:eastAsia="ru-RU"/>
        </w:rPr>
        <w:t xml:space="preserve"> В данном случае корректировка не проводится.</w:t>
      </w: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14"/>
          <w:footerReference w:type="default" r:id="rId15"/>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16"/>
      <w:footerReference w:type="default" r:id="rId17"/>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5674A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5674A0"/>
    <w:rsid w:val="00747724"/>
    <w:rsid w:val="00C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1831</Words>
  <Characters>13929</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Анна Александровна</cp:lastModifiedBy>
  <cp:revision>5</cp:revision>
  <cp:lastPrinted>2018-02-13T04:30:00Z</cp:lastPrinted>
  <dcterms:created xsi:type="dcterms:W3CDTF">2018-02-16T05:25:00Z</dcterms:created>
  <dcterms:modified xsi:type="dcterms:W3CDTF">2018-02-16T05:36:00Z</dcterms:modified>
</cp:coreProperties>
</file>