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E" w:rsidRPr="005269A8" w:rsidRDefault="0039086E" w:rsidP="0039086E">
      <w:pPr>
        <w:keepNext/>
        <w:jc w:val="center"/>
        <w:rPr>
          <w:b/>
          <w:bCs/>
          <w:kern w:val="1"/>
          <w:szCs w:val="28"/>
          <w:lang w:eastAsia="ar-SA"/>
        </w:rPr>
      </w:pPr>
      <w:r w:rsidRPr="005269A8">
        <w:rPr>
          <w:b/>
          <w:bCs/>
          <w:kern w:val="1"/>
          <w:szCs w:val="28"/>
          <w:lang w:eastAsia="ar-SA"/>
        </w:rPr>
        <w:t>ТЕХНИЧЕСКОЕ ЗАДАНИЕ</w:t>
      </w:r>
    </w:p>
    <w:p w:rsidR="0039086E" w:rsidRPr="005269A8" w:rsidRDefault="0039086E" w:rsidP="0039086E"/>
    <w:p w:rsidR="0039086E" w:rsidRPr="005269A8" w:rsidRDefault="0039086E" w:rsidP="0039086E">
      <w:pPr>
        <w:keepNext/>
        <w:keepLines/>
        <w:ind w:left="567"/>
        <w:jc w:val="center"/>
        <w:rPr>
          <w:b/>
        </w:rPr>
      </w:pPr>
    </w:p>
    <w:p w:rsidR="0039086E" w:rsidRPr="005269A8" w:rsidRDefault="0039086E" w:rsidP="0039086E">
      <w:pPr>
        <w:keepNext/>
        <w:keepLines/>
        <w:ind w:left="567"/>
        <w:jc w:val="center"/>
        <w:rPr>
          <w:b/>
          <w:lang w:eastAsia="en-US"/>
        </w:rPr>
      </w:pPr>
      <w:bookmarkStart w:id="0" w:name="_GoBack"/>
      <w:r>
        <w:rPr>
          <w:b/>
        </w:rPr>
        <w:t>П</w:t>
      </w:r>
      <w:r w:rsidRPr="00BD75D1">
        <w:rPr>
          <w:b/>
        </w:rPr>
        <w:t>оставка впитывающих простыней (пеленок) для инвалидов в 2018 году</w:t>
      </w:r>
      <w:r w:rsidRPr="005269A8">
        <w:rPr>
          <w:b/>
        </w:rPr>
        <w:t xml:space="preserve"> </w:t>
      </w:r>
    </w:p>
    <w:bookmarkEnd w:id="0"/>
    <w:p w:rsidR="0039086E" w:rsidRPr="005269A8" w:rsidRDefault="0039086E" w:rsidP="0039086E">
      <w:pPr>
        <w:widowControl w:val="0"/>
        <w:jc w:val="both"/>
      </w:pPr>
    </w:p>
    <w:p w:rsidR="0039086E" w:rsidRPr="005269A8" w:rsidRDefault="0039086E" w:rsidP="0039086E">
      <w:pPr>
        <w:widowControl w:val="0"/>
        <w:jc w:val="both"/>
      </w:pPr>
    </w:p>
    <w:p w:rsidR="0039086E" w:rsidRPr="00880E5A" w:rsidRDefault="0039086E" w:rsidP="0039086E">
      <w:pPr>
        <w:keepNext/>
        <w:keepLines/>
        <w:suppressAutoHyphens/>
        <w:jc w:val="both"/>
      </w:pPr>
      <w:r w:rsidRPr="00880E5A">
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9086E" w:rsidRPr="00880E5A" w:rsidRDefault="0039086E" w:rsidP="0039086E">
      <w:pPr>
        <w:jc w:val="both"/>
      </w:pPr>
    </w:p>
    <w:p w:rsidR="0039086E" w:rsidRPr="00880E5A" w:rsidRDefault="0039086E" w:rsidP="0039086E">
      <w:pPr>
        <w:widowControl w:val="0"/>
        <w:jc w:val="both"/>
        <w:rPr>
          <w:bCs/>
        </w:rPr>
      </w:pPr>
      <w:r w:rsidRPr="00880E5A">
        <w:rPr>
          <w:b/>
        </w:rPr>
        <w:t>Способ определения исполнителя (подрядчика, поставщика):</w:t>
      </w:r>
      <w:r w:rsidRPr="00880E5A">
        <w:rPr>
          <w:bCs/>
        </w:rPr>
        <w:t xml:space="preserve"> </w:t>
      </w:r>
      <w:r>
        <w:rPr>
          <w:bCs/>
        </w:rPr>
        <w:t>запрос предложений</w:t>
      </w:r>
      <w:r w:rsidRPr="00880E5A">
        <w:rPr>
          <w:bCs/>
        </w:rPr>
        <w:t>.</w:t>
      </w:r>
    </w:p>
    <w:p w:rsidR="0039086E" w:rsidRPr="00880E5A" w:rsidRDefault="0039086E" w:rsidP="0039086E">
      <w:pPr>
        <w:jc w:val="both"/>
        <w:rPr>
          <w:bCs/>
        </w:rPr>
      </w:pPr>
      <w:r w:rsidRPr="00880E5A">
        <w:rPr>
          <w:b/>
        </w:rPr>
        <w:t>Наименование объекта закупки:</w:t>
      </w:r>
      <w:r>
        <w:rPr>
          <w:b/>
        </w:rPr>
        <w:t xml:space="preserve"> </w:t>
      </w:r>
      <w:r w:rsidRPr="00AA3005">
        <w:t>поставк</w:t>
      </w:r>
      <w:r>
        <w:t>а</w:t>
      </w:r>
      <w:r w:rsidRPr="00AA3005">
        <w:t xml:space="preserve"> впитывающих простыней (пеленок) для инвалидов в 2018 году</w:t>
      </w:r>
      <w:r w:rsidRPr="00880E5A">
        <w:rPr>
          <w:bCs/>
        </w:rPr>
        <w:t>.</w:t>
      </w:r>
    </w:p>
    <w:p w:rsidR="0039086E" w:rsidRPr="00880E5A" w:rsidRDefault="0039086E" w:rsidP="0039086E">
      <w:pPr>
        <w:jc w:val="both"/>
        <w:rPr>
          <w:bCs/>
        </w:rPr>
      </w:pPr>
      <w:r w:rsidRPr="00880E5A">
        <w:rPr>
          <w:b/>
        </w:rPr>
        <w:t>Количество поставляемого товара:</w:t>
      </w:r>
      <w:r w:rsidRPr="00880E5A">
        <w:t xml:space="preserve"> </w:t>
      </w:r>
      <w:r>
        <w:t xml:space="preserve">653 820 </w:t>
      </w:r>
      <w:r>
        <w:rPr>
          <w:bCs/>
        </w:rPr>
        <w:t>И</w:t>
      </w:r>
      <w:r w:rsidRPr="00880E5A">
        <w:rPr>
          <w:bCs/>
        </w:rPr>
        <w:t>зделий.</w:t>
      </w:r>
    </w:p>
    <w:p w:rsidR="0039086E" w:rsidRPr="005269A8" w:rsidRDefault="0039086E" w:rsidP="0039086E">
      <w:pPr>
        <w:widowControl w:val="0"/>
        <w:ind w:right="-62"/>
        <w:jc w:val="both"/>
      </w:pPr>
      <w:r w:rsidRPr="005269A8">
        <w:rPr>
          <w:b/>
        </w:rPr>
        <w:t xml:space="preserve">Срок поставки Изделий: </w:t>
      </w:r>
      <w:r w:rsidRPr="005269A8">
        <w:t xml:space="preserve">Поставка осуществляется в течение 5 (пяти) </w:t>
      </w:r>
      <w:r>
        <w:t>рабочих</w:t>
      </w:r>
      <w:r w:rsidRPr="005269A8">
        <w:t xml:space="preserve"> дней </w:t>
      </w:r>
      <w:proofErr w:type="gramStart"/>
      <w:r w:rsidRPr="005269A8">
        <w:t>с даты направления</w:t>
      </w:r>
      <w:proofErr w:type="gramEnd"/>
      <w:r w:rsidRPr="005269A8">
        <w:t xml:space="preserve">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39086E" w:rsidRPr="005269A8" w:rsidRDefault="0039086E" w:rsidP="0039086E">
      <w:pPr>
        <w:widowControl w:val="0"/>
        <w:ind w:right="-62"/>
        <w:jc w:val="both"/>
        <w:rPr>
          <w:b/>
        </w:rPr>
      </w:pPr>
      <w:r w:rsidRPr="005269A8">
        <w:rPr>
          <w:b/>
        </w:rPr>
        <w:t xml:space="preserve">Срок действия Контракта: </w:t>
      </w:r>
      <w:r w:rsidRPr="005269A8">
        <w:t>контра</w:t>
      </w:r>
      <w:proofErr w:type="gramStart"/>
      <w:r w:rsidRPr="005269A8">
        <w:t>кт вст</w:t>
      </w:r>
      <w:proofErr w:type="gramEnd"/>
      <w:r w:rsidRPr="005269A8">
        <w:t>упает в силу с даты подписания контракта и действует до 25 декабря 2018 года.</w:t>
      </w:r>
    </w:p>
    <w:p w:rsidR="0039086E" w:rsidRPr="005269A8" w:rsidRDefault="0039086E" w:rsidP="0039086E">
      <w:pPr>
        <w:widowControl w:val="0"/>
        <w:ind w:right="-62"/>
        <w:jc w:val="both"/>
      </w:pPr>
      <w:r w:rsidRPr="005269A8">
        <w:rPr>
          <w:b/>
        </w:rPr>
        <w:t xml:space="preserve">Место поставки Изделий: </w:t>
      </w:r>
      <w:r w:rsidRPr="005269A8">
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</w:r>
    </w:p>
    <w:p w:rsidR="0039086E" w:rsidRPr="005269A8" w:rsidRDefault="0039086E" w:rsidP="0039086E">
      <w:pPr>
        <w:widowControl w:val="0"/>
        <w:ind w:right="-62"/>
        <w:jc w:val="both"/>
      </w:pPr>
      <w:r w:rsidRPr="005269A8"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– Московской области;</w:t>
      </w:r>
    </w:p>
    <w:p w:rsidR="0039086E" w:rsidRPr="005269A8" w:rsidRDefault="0039086E" w:rsidP="0039086E">
      <w:pPr>
        <w:widowControl w:val="0"/>
        <w:ind w:right="-62"/>
        <w:jc w:val="both"/>
      </w:pPr>
      <w:r w:rsidRPr="005269A8">
        <w:t>или</w:t>
      </w:r>
    </w:p>
    <w:p w:rsidR="0039086E" w:rsidRPr="005269A8" w:rsidRDefault="0039086E" w:rsidP="0039086E">
      <w:pPr>
        <w:jc w:val="both"/>
      </w:pPr>
      <w:r w:rsidRPr="005269A8">
        <w:t>- в пунктах выдачи изделий согласно Техническому заданию и приложению № 2 к Контракту, организованных Поставщиком в пределах административной границы субъекта Федерации – Московской области.</w:t>
      </w:r>
    </w:p>
    <w:p w:rsidR="0039086E" w:rsidRPr="00313279" w:rsidRDefault="0039086E" w:rsidP="0039086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0910">
        <w:rPr>
          <w:b/>
          <w:bCs/>
        </w:rPr>
        <w:t>Источник финансирования:</w:t>
      </w:r>
      <w:r w:rsidRPr="00313279">
        <w:rPr>
          <w:bCs/>
        </w:rPr>
        <w:t xml:space="preserve"> за счет средств, выделенных из федерального бюджета.</w:t>
      </w:r>
    </w:p>
    <w:p w:rsidR="0039086E" w:rsidRPr="00974F6D" w:rsidRDefault="0039086E" w:rsidP="0039086E">
      <w:pPr>
        <w:jc w:val="both"/>
        <w:rPr>
          <w:b/>
          <w:bCs/>
          <w:sz w:val="22"/>
          <w:szCs w:val="22"/>
        </w:rPr>
      </w:pPr>
      <w:r w:rsidRPr="00050910">
        <w:rPr>
          <w:b/>
          <w:bCs/>
        </w:rPr>
        <w:t>Начальная (максимальная) цена Контракта</w:t>
      </w:r>
      <w:r w:rsidRPr="00754A81">
        <w:rPr>
          <w:rFonts w:eastAsia="Calibri"/>
          <w:b/>
          <w:bCs/>
          <w:color w:val="000000"/>
          <w:sz w:val="22"/>
          <w:szCs w:val="22"/>
        </w:rPr>
        <w:t xml:space="preserve">: </w:t>
      </w:r>
      <w:r w:rsidRPr="00974F6D">
        <w:rPr>
          <w:b/>
          <w:bCs/>
          <w:sz w:val="22"/>
          <w:szCs w:val="22"/>
        </w:rPr>
        <w:t>5 863 829</w:t>
      </w:r>
      <w:r w:rsidRPr="00EC77B7">
        <w:rPr>
          <w:b/>
          <w:bCs/>
        </w:rPr>
        <w:t xml:space="preserve"> (</w:t>
      </w:r>
      <w:r>
        <w:rPr>
          <w:b/>
          <w:bCs/>
        </w:rPr>
        <w:t>пять миллионов восемьсот шестьдесят три тысячи восемьсот двадцать девять</w:t>
      </w:r>
      <w:r w:rsidRPr="00EC77B7">
        <w:rPr>
          <w:b/>
          <w:bCs/>
        </w:rPr>
        <w:t>) рублей 40 копеек.</w:t>
      </w:r>
    </w:p>
    <w:p w:rsidR="0039086E" w:rsidRDefault="0039086E" w:rsidP="0039086E">
      <w:pPr>
        <w:widowControl w:val="0"/>
        <w:jc w:val="both"/>
        <w:rPr>
          <w:bCs/>
        </w:rPr>
      </w:pPr>
      <w:r w:rsidRPr="00AF23CB">
        <w:t>В цену Контракта включаются все расходы</w:t>
      </w:r>
      <w:r w:rsidRPr="00313279">
        <w:t xml:space="preserve"> по исполнению Контракта, в </w:t>
      </w:r>
      <w:proofErr w:type="spellStart"/>
      <w:r w:rsidRPr="00313279">
        <w:t>т.ч</w:t>
      </w:r>
      <w:proofErr w:type="spellEnd"/>
      <w:r w:rsidRPr="00313279">
        <w:t>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  <w:r w:rsidRPr="00313279">
        <w:rPr>
          <w:bCs/>
        </w:rPr>
        <w:t xml:space="preserve"> </w:t>
      </w:r>
    </w:p>
    <w:p w:rsidR="0039086E" w:rsidRPr="00EC77B7" w:rsidRDefault="0039086E" w:rsidP="0039086E">
      <w:pPr>
        <w:widowControl w:val="0"/>
        <w:jc w:val="both"/>
        <w:rPr>
          <w:b/>
          <w:bCs/>
        </w:rPr>
      </w:pPr>
      <w:r w:rsidRPr="00050910">
        <w:rPr>
          <w:b/>
          <w:bCs/>
        </w:rPr>
        <w:t>Требование обеспечения исполнения контракта:</w:t>
      </w:r>
      <w:r w:rsidRPr="001A7D85">
        <w:rPr>
          <w:bCs/>
        </w:rPr>
        <w:t xml:space="preserve"> размер обеспечения составляет 30</w:t>
      </w:r>
      <w:r>
        <w:rPr>
          <w:bCs/>
        </w:rPr>
        <w:t xml:space="preserve"> </w:t>
      </w:r>
      <w:r w:rsidRPr="001A7D85">
        <w:rPr>
          <w:bCs/>
        </w:rPr>
        <w:t>% от начальной (максимальной) цены контракты</w:t>
      </w:r>
      <w:r w:rsidRPr="00EC77B7">
        <w:rPr>
          <w:b/>
          <w:bCs/>
        </w:rPr>
        <w:t>.</w:t>
      </w:r>
    </w:p>
    <w:p w:rsidR="0039086E" w:rsidRPr="005269A8" w:rsidRDefault="0039086E" w:rsidP="0039086E">
      <w:pPr>
        <w:widowControl w:val="0"/>
        <w:ind w:firstLine="708"/>
        <w:jc w:val="both"/>
        <w:rPr>
          <w:b/>
          <w:bCs/>
        </w:rPr>
      </w:pPr>
      <w:r w:rsidRPr="005269A8">
        <w:rPr>
          <w:b/>
          <w:bCs/>
        </w:rPr>
        <w:t>1. Порядок выдачи Изделий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1.1. Выдавать Изделия через пункты </w:t>
      </w:r>
      <w:r>
        <w:rPr>
          <w:bCs/>
        </w:rPr>
        <w:t>выдачи</w:t>
      </w:r>
      <w:r w:rsidRPr="005269A8">
        <w:rPr>
          <w:bCs/>
        </w:rPr>
        <w:t>, организованные Поставщиком в соответствии с пунктом 1.4.1 – 1.4.10 технического задания.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1.2. Доставлять Изделия по адресам местожительства Получателей.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1.3. Передача Изделий не может превышать </w:t>
      </w:r>
      <w:proofErr w:type="gramStart"/>
      <w:r w:rsidRPr="005269A8">
        <w:rPr>
          <w:bCs/>
        </w:rPr>
        <w:t>количество</w:t>
      </w:r>
      <w:proofErr w:type="gramEnd"/>
      <w:r w:rsidRPr="005269A8">
        <w:rPr>
          <w:bCs/>
        </w:rPr>
        <w:t xml:space="preserve"> указанное в направлении.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 Передавать Изделия Получателям по месту нахождения пунктов </w:t>
      </w:r>
      <w:r>
        <w:rPr>
          <w:bCs/>
        </w:rPr>
        <w:t>выдачи</w:t>
      </w:r>
      <w:r w:rsidRPr="005269A8">
        <w:rPr>
          <w:bCs/>
        </w:rPr>
        <w:t>, организованных Поставщиком, в день обращения Получателя.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1.4.1.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1.4.2.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не менее чем в 20 различных районах </w:t>
      </w:r>
      <w:r w:rsidRPr="005269A8">
        <w:rPr>
          <w:bCs/>
        </w:rPr>
        <w:lastRenderedPageBreak/>
        <w:t>(административных (муниципальных) районах) субъекта. Количество пунктов в районе (административном (муниципальном) районе) субъекта – не менее одного.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1.4.3. Площадь каждого из пунктов, предназначенная для приёма и ожидания Получателей в очереди, должна быть не менее 50 квадратных метров.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1.4.4. Каждый из пунктов должен иметь туалетную комнату со свободным доступом туда Получателей.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1.4.5. Каждый из пунктов должен быть оборудован местами для ожидания Получателями в сидячем положении.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1.4.6. Пункты </w:t>
      </w:r>
      <w:r>
        <w:rPr>
          <w:bCs/>
        </w:rPr>
        <w:t>выдачи</w:t>
      </w:r>
      <w:r w:rsidRPr="005269A8">
        <w:rPr>
          <w:bCs/>
        </w:rPr>
        <w:t xml:space="preserve">, не должны располагаться в жилых помещениях (квартирах). 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1.4.7.  Пункты </w:t>
      </w:r>
      <w:r>
        <w:rPr>
          <w:bCs/>
        </w:rPr>
        <w:t>выдачи</w:t>
      </w:r>
      <w:r w:rsidRPr="005269A8">
        <w:rPr>
          <w:bCs/>
        </w:rPr>
        <w:t>, должны располагаться не выше первого этажа здания.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1.4.8. Каждый пункт должен иметь режим работы не менее чем с 10:00 до 18:00, с понедельника по пятницу.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1.4.9. На каждом пункте </w:t>
      </w:r>
      <w:r>
        <w:rPr>
          <w:bCs/>
        </w:rPr>
        <w:t>выдачи</w:t>
      </w:r>
      <w:r w:rsidRPr="005269A8">
        <w:rPr>
          <w:bCs/>
        </w:rPr>
        <w:t xml:space="preserve">, с уличной стороны, рядом </w:t>
      </w:r>
      <w:proofErr w:type="gramStart"/>
      <w:r w:rsidRPr="005269A8">
        <w:rPr>
          <w:bCs/>
        </w:rPr>
        <w:t>со</w:t>
      </w:r>
      <w:proofErr w:type="gramEnd"/>
      <w:r w:rsidRPr="005269A8">
        <w:rPr>
          <w:bCs/>
        </w:rPr>
        <w:t xml:space="preserve"> входом в пункт </w:t>
      </w:r>
      <w:r>
        <w:rPr>
          <w:bCs/>
        </w:rPr>
        <w:t>выдачи</w:t>
      </w:r>
      <w:r w:rsidRPr="005269A8">
        <w:rPr>
          <w:bCs/>
        </w:rPr>
        <w:t>, должна висеть вывеска (табличка) с надписью: «Пункт выдачи, технических средств реабилитации для инвалидов».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1.4.10.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на момент заключения контракта.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1.4.10.1. Адреса и график работы пунктов должны быть указаны в приложении к государственному контракту.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1.4.11. Обеспечить наличие Изделий в каждом пункте </w:t>
      </w:r>
      <w:r>
        <w:rPr>
          <w:bCs/>
        </w:rPr>
        <w:t>выдачи</w:t>
      </w:r>
      <w:r w:rsidRPr="005269A8">
        <w:rPr>
          <w:bCs/>
        </w:rPr>
        <w:t xml:space="preserve"> для выбора Получателями на день, следующий за днем заключения Контракта, в равных пропорциях, предусмотренных в Контракте, по наименованиям и типам Изделий. При этом типы, размерный ряд Изделий должны быть в равном процентном соотношении друг к другу в пределах каждого наименования. В рамках исполнения Контракта в пунктах </w:t>
      </w:r>
      <w:r>
        <w:rPr>
          <w:bCs/>
        </w:rPr>
        <w:t>выдачи</w:t>
      </w:r>
      <w:r w:rsidRPr="005269A8">
        <w:rPr>
          <w:bCs/>
        </w:rPr>
        <w:t xml:space="preserve"> ежедневно должны находиться Изделия всех наименований и размеров до полной выдачи Изделий каждого наименования.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1.5. Доставка по адресам места жительства Получателей.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 xml:space="preserve">1.5.2. </w:t>
      </w:r>
      <w:proofErr w:type="gramStart"/>
      <w:r w:rsidRPr="005269A8">
        <w:rPr>
          <w:bCs/>
        </w:rPr>
        <w:t>Объем доставляемых на дом Изделий должен определятся согласно полученным реестрам направленных Заказчиком.</w:t>
      </w:r>
      <w:proofErr w:type="gramEnd"/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39086E" w:rsidRPr="005269A8" w:rsidRDefault="0039086E" w:rsidP="0039086E">
      <w:pPr>
        <w:widowControl w:val="0"/>
        <w:jc w:val="both"/>
        <w:rPr>
          <w:bCs/>
        </w:rPr>
      </w:pPr>
      <w:r w:rsidRPr="005269A8"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39086E" w:rsidRPr="005269A8" w:rsidRDefault="0039086E" w:rsidP="0039086E">
      <w:pPr>
        <w:pStyle w:val="a4"/>
        <w:numPr>
          <w:ilvl w:val="0"/>
          <w:numId w:val="1"/>
        </w:numPr>
        <w:rPr>
          <w:b/>
          <w:bCs/>
          <w:kern w:val="1"/>
          <w:sz w:val="24"/>
          <w:szCs w:val="28"/>
          <w:lang w:eastAsia="ar-SA"/>
        </w:rPr>
      </w:pPr>
      <w:r w:rsidRPr="005269A8">
        <w:rPr>
          <w:b/>
          <w:sz w:val="24"/>
        </w:rPr>
        <w:t>Требования к техническим и к функциональным характеристикам товара.</w:t>
      </w:r>
    </w:p>
    <w:p w:rsidR="0039086E" w:rsidRPr="00452942" w:rsidRDefault="0039086E" w:rsidP="0039086E">
      <w:pPr>
        <w:widowControl w:val="0"/>
        <w:jc w:val="both"/>
        <w:rPr>
          <w:bCs/>
        </w:rPr>
      </w:pPr>
      <w:r w:rsidRPr="00646AD5">
        <w:t xml:space="preserve">Впитывающая </w:t>
      </w:r>
      <w:r w:rsidRPr="00452942">
        <w:rPr>
          <w:bCs/>
        </w:rPr>
        <w:t>простынь (пеленка): многослойное санитарно-гигиеническое изделие разового использования.</w:t>
      </w:r>
    </w:p>
    <w:p w:rsidR="0039086E" w:rsidRPr="00452942" w:rsidRDefault="0039086E" w:rsidP="0039086E">
      <w:pPr>
        <w:widowControl w:val="0"/>
        <w:jc w:val="both"/>
        <w:rPr>
          <w:bCs/>
        </w:rPr>
      </w:pPr>
      <w:r w:rsidRPr="00452942">
        <w:rPr>
          <w:bCs/>
        </w:rPr>
        <w:t>Впитывающие простыни (пеленки) предназначены для использования инвалидами в креслах-колясках или кроватях, как дополнительная защита от протекания.</w:t>
      </w:r>
    </w:p>
    <w:p w:rsidR="0039086E" w:rsidRPr="00452942" w:rsidRDefault="0039086E" w:rsidP="0039086E">
      <w:pPr>
        <w:widowControl w:val="0"/>
        <w:jc w:val="both"/>
        <w:rPr>
          <w:bCs/>
        </w:rPr>
      </w:pPr>
      <w:r w:rsidRPr="00452942">
        <w:rPr>
          <w:bCs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39086E" w:rsidRPr="005269A8" w:rsidRDefault="0039086E" w:rsidP="0039086E">
      <w:pPr>
        <w:widowControl w:val="0"/>
        <w:jc w:val="both"/>
      </w:pPr>
      <w:r w:rsidRPr="00452942">
        <w:rPr>
          <w:bCs/>
        </w:rPr>
        <w:t xml:space="preserve">Впитывающая простынь (пеленка) должна представлять многослойное изделие прямоугольной формы из распушенной целлюлозы, нижний слой материала не пропускающий влагу. Верхний слой должен быть из мягкого </w:t>
      </w:r>
      <w:proofErr w:type="spellStart"/>
      <w:r w:rsidRPr="00452942">
        <w:rPr>
          <w:bCs/>
        </w:rPr>
        <w:t>гипоаллергенного</w:t>
      </w:r>
      <w:proofErr w:type="spellEnd"/>
      <w:r w:rsidRPr="00452942">
        <w:rPr>
          <w:bCs/>
        </w:rPr>
        <w:t xml:space="preserve"> нетканого материала, запечатанного по краям. Внутренний (впитывающий) слой должен быть из </w:t>
      </w:r>
      <w:r w:rsidRPr="00452942">
        <w:rPr>
          <w:bCs/>
        </w:rPr>
        <w:lastRenderedPageBreak/>
        <w:t>распущенной целлюлозы, и способен равномерно впитывать и распределять жидкость. Внешний слой должен быть из водонепроницаемой нескользящей пленки, предотвращающей протекание</w:t>
      </w:r>
      <w:r w:rsidRPr="00646AD5">
        <w:t>.</w:t>
      </w:r>
    </w:p>
    <w:p w:rsidR="0039086E" w:rsidRDefault="0039086E" w:rsidP="0039086E">
      <w:pPr>
        <w:jc w:val="both"/>
      </w:pPr>
      <w: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39086E" w:rsidRPr="008109CA" w:rsidRDefault="0039086E" w:rsidP="0039086E">
      <w:pPr>
        <w:jc w:val="both"/>
      </w:pPr>
      <w:r w:rsidRPr="00F016DD">
        <w:t>Изделия должны быть новыми. Изделия должны быть свободными от прав третьих лиц</w:t>
      </w:r>
      <w:r w:rsidRPr="008109CA">
        <w:t>.</w:t>
      </w:r>
    </w:p>
    <w:p w:rsidR="0039086E" w:rsidRPr="00DA74AF" w:rsidRDefault="0039086E" w:rsidP="0039086E">
      <w:pPr>
        <w:pStyle w:val="a4"/>
        <w:ind w:firstLine="567"/>
        <w:jc w:val="both"/>
        <w:rPr>
          <w:sz w:val="24"/>
        </w:rPr>
      </w:pPr>
      <w:r w:rsidRPr="00DA74AF">
        <w:rPr>
          <w:sz w:val="24"/>
          <w:lang w:eastAsia="ar-SA"/>
        </w:rPr>
        <w:t>Изделия должны отвечать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2381"/>
        <w:gridCol w:w="1559"/>
        <w:gridCol w:w="2126"/>
        <w:gridCol w:w="1418"/>
      </w:tblGrid>
      <w:tr w:rsidR="0039086E" w:rsidRPr="00D63746" w:rsidTr="00BC60C6">
        <w:tc>
          <w:tcPr>
            <w:tcW w:w="596" w:type="dxa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№ </w:t>
            </w:r>
            <w:proofErr w:type="gramStart"/>
            <w:r w:rsidRPr="00D63746">
              <w:rPr>
                <w:sz w:val="20"/>
                <w:szCs w:val="20"/>
              </w:rPr>
              <w:t>п</w:t>
            </w:r>
            <w:proofErr w:type="gramEnd"/>
            <w:r w:rsidRPr="00D63746">
              <w:rPr>
                <w:sz w:val="20"/>
                <w:szCs w:val="20"/>
              </w:rPr>
              <w:t>/п</w:t>
            </w:r>
          </w:p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381" w:type="dxa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2126" w:type="dxa"/>
          </w:tcPr>
          <w:p w:rsidR="0039086E" w:rsidRPr="00D63746" w:rsidRDefault="0039086E" w:rsidP="00BC60C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418" w:type="dxa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63746">
              <w:rPr>
                <w:sz w:val="20"/>
                <w:szCs w:val="20"/>
              </w:rPr>
              <w:t xml:space="preserve">Количество Изделий </w:t>
            </w:r>
          </w:p>
        </w:tc>
      </w:tr>
      <w:tr w:rsidR="0039086E" w:rsidRPr="00D63746" w:rsidTr="00BC60C6">
        <w:trPr>
          <w:trHeight w:val="1847"/>
        </w:trPr>
        <w:tc>
          <w:tcPr>
            <w:tcW w:w="596" w:type="dxa"/>
            <w:vMerge w:val="restart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086E" w:rsidRPr="00D63746" w:rsidRDefault="0039086E" w:rsidP="00BC60C6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Впитывающие простыни (пеленки) </w:t>
            </w:r>
          </w:p>
          <w:p w:rsidR="0039086E" w:rsidRPr="00D63746" w:rsidRDefault="0039086E" w:rsidP="00BC60C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39086E" w:rsidRPr="00D63746" w:rsidRDefault="0039086E" w:rsidP="00BC60C6">
            <w:pPr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Размер</w:t>
            </w:r>
          </w:p>
        </w:tc>
        <w:tc>
          <w:tcPr>
            <w:tcW w:w="1559" w:type="dxa"/>
            <w:shd w:val="clear" w:color="auto" w:fill="auto"/>
          </w:tcPr>
          <w:p w:rsidR="0039086E" w:rsidRPr="00D63746" w:rsidRDefault="0039086E" w:rsidP="00BC60C6">
            <w:pPr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не менее </w:t>
            </w:r>
          </w:p>
          <w:p w:rsidR="0039086E" w:rsidRPr="00D63746" w:rsidRDefault="0039086E" w:rsidP="00BC60C6">
            <w:pPr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60 см х 90 см</w:t>
            </w:r>
          </w:p>
        </w:tc>
        <w:tc>
          <w:tcPr>
            <w:tcW w:w="2126" w:type="dxa"/>
            <w:vMerge w:val="restart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Приказ Министерства труда и социальной защиты РФ от 24.05.2013г. №214н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  <w:lang w:val="en-US"/>
              </w:rPr>
              <w:t>645 000</w:t>
            </w:r>
          </w:p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086E" w:rsidRPr="00D63746" w:rsidTr="00BC60C6"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Общая впитывающая способность каждого из Изделий</w:t>
            </w:r>
          </w:p>
        </w:tc>
        <w:tc>
          <w:tcPr>
            <w:tcW w:w="1559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от 1200 мл до 1900мл</w:t>
            </w:r>
          </w:p>
        </w:tc>
        <w:tc>
          <w:tcPr>
            <w:tcW w:w="2126" w:type="dxa"/>
            <w:vMerge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086E" w:rsidRPr="00D63746" w:rsidTr="00BC60C6"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Впитывающий слой   </w:t>
            </w:r>
          </w:p>
        </w:tc>
        <w:tc>
          <w:tcPr>
            <w:tcW w:w="1559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vMerge w:val="restart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</w:t>
            </w: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086E" w:rsidRPr="00D63746" w:rsidTr="00BC60C6"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Нижний слой - не пропускающий влагу, не скользящий </w:t>
            </w:r>
          </w:p>
        </w:tc>
        <w:tc>
          <w:tcPr>
            <w:tcW w:w="1559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vMerge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086E" w:rsidRPr="00D63746" w:rsidTr="00BC60C6">
        <w:trPr>
          <w:trHeight w:val="487"/>
        </w:trPr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Верхний слой из мягкого не раздражающего кожу материала</w:t>
            </w:r>
          </w:p>
        </w:tc>
        <w:tc>
          <w:tcPr>
            <w:tcW w:w="1559" w:type="dxa"/>
            <w:shd w:val="clear" w:color="auto" w:fill="auto"/>
          </w:tcPr>
          <w:p w:rsidR="0039086E" w:rsidRPr="00D63746" w:rsidRDefault="0039086E" w:rsidP="00BC60C6">
            <w:pPr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Методические рекомендации, ГОСТ ISO 10993-10-2011</w:t>
            </w: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086E" w:rsidRPr="00D63746" w:rsidTr="00BC60C6">
        <w:trPr>
          <w:trHeight w:val="487"/>
        </w:trPr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№ </w:t>
            </w:r>
            <w:proofErr w:type="gramStart"/>
            <w:r w:rsidRPr="00D63746">
              <w:rPr>
                <w:sz w:val="20"/>
                <w:szCs w:val="20"/>
              </w:rPr>
              <w:t>п</w:t>
            </w:r>
            <w:proofErr w:type="gramEnd"/>
            <w:r w:rsidRPr="00D63746">
              <w:rPr>
                <w:sz w:val="20"/>
                <w:szCs w:val="20"/>
              </w:rPr>
              <w:t>/п</w:t>
            </w:r>
          </w:p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E" w:rsidRPr="00D63746" w:rsidRDefault="0039086E" w:rsidP="00BC60C6">
            <w:pPr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63746">
              <w:rPr>
                <w:sz w:val="20"/>
                <w:szCs w:val="20"/>
              </w:rPr>
              <w:t xml:space="preserve">Количество Изделий </w:t>
            </w:r>
          </w:p>
        </w:tc>
      </w:tr>
      <w:tr w:rsidR="0039086E" w:rsidRPr="00D63746" w:rsidTr="00BC60C6">
        <w:trPr>
          <w:trHeight w:val="487"/>
        </w:trPr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Впитывающие простыни (пеленки) </w:t>
            </w:r>
          </w:p>
          <w:p w:rsidR="0039086E" w:rsidRPr="00D63746" w:rsidRDefault="0039086E" w:rsidP="00BC60C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Размер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snapToGrid w:val="0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не менее </w:t>
            </w:r>
          </w:p>
          <w:p w:rsidR="0039086E" w:rsidRPr="00D63746" w:rsidRDefault="0039086E" w:rsidP="00BC60C6">
            <w:pPr>
              <w:snapToGrid w:val="0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60 см х 60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E" w:rsidRPr="00D63746" w:rsidRDefault="0039086E" w:rsidP="00BC60C6">
            <w:pPr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Приказ Министерства труда и социальной защиты РФ от 24.05.2013г. №214н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  <w:lang w:val="en-US"/>
              </w:rPr>
              <w:t>8 820</w:t>
            </w:r>
          </w:p>
          <w:p w:rsidR="0039086E" w:rsidRPr="00D63746" w:rsidRDefault="0039086E" w:rsidP="00BC60C6">
            <w:pPr>
              <w:pStyle w:val="a3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086E" w:rsidRPr="00D63746" w:rsidTr="00BC60C6">
        <w:trPr>
          <w:trHeight w:val="487"/>
        </w:trPr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Общая впитывающая способность каждого из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snapToGrid w:val="0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от 800 до 1200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E" w:rsidRPr="00D63746" w:rsidRDefault="0039086E" w:rsidP="00BC6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086E" w:rsidRPr="00D63746" w:rsidTr="00BC60C6">
        <w:trPr>
          <w:trHeight w:val="487"/>
        </w:trPr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Впитывающий слой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snapToGrid w:val="0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E" w:rsidRPr="00D63746" w:rsidRDefault="0039086E" w:rsidP="00BC60C6">
            <w:pPr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Методические рекомендации по установлению медицинских показаний и противопоказаний при назначении специалистами МСЭ </w:t>
            </w:r>
            <w:r w:rsidRPr="00D63746">
              <w:rPr>
                <w:sz w:val="20"/>
                <w:szCs w:val="20"/>
              </w:rPr>
              <w:lastRenderedPageBreak/>
              <w:t>ТСР инвалида и методика их рационального подбора (далее – Методические рекомендации)</w:t>
            </w: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086E" w:rsidRPr="00D63746" w:rsidTr="00BC60C6">
        <w:trPr>
          <w:trHeight w:val="487"/>
        </w:trPr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 xml:space="preserve">Нижний слой - не пропускающий влагу, не скользящий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snapToGrid w:val="0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E" w:rsidRPr="00D63746" w:rsidRDefault="0039086E" w:rsidP="00BC6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086E" w:rsidRPr="00D63746" w:rsidTr="00BC60C6">
        <w:trPr>
          <w:trHeight w:val="487"/>
        </w:trPr>
        <w:tc>
          <w:tcPr>
            <w:tcW w:w="596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86E" w:rsidRPr="00D63746" w:rsidRDefault="0039086E" w:rsidP="00BC60C6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Верхний слой из мягкого не раздражающего кожу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E" w:rsidRPr="00D63746" w:rsidRDefault="0039086E" w:rsidP="00BC60C6">
            <w:pPr>
              <w:snapToGrid w:val="0"/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E" w:rsidRPr="00D63746" w:rsidRDefault="0039086E" w:rsidP="00BC60C6">
            <w:pPr>
              <w:rPr>
                <w:sz w:val="20"/>
                <w:szCs w:val="20"/>
              </w:rPr>
            </w:pPr>
            <w:r w:rsidRPr="00D63746">
              <w:rPr>
                <w:sz w:val="20"/>
                <w:szCs w:val="20"/>
              </w:rPr>
              <w:t>Методические рекомендации, ГОСТ ISO 10993-10-2011</w:t>
            </w:r>
          </w:p>
        </w:tc>
        <w:tc>
          <w:tcPr>
            <w:tcW w:w="1418" w:type="dxa"/>
            <w:vMerge/>
            <w:shd w:val="clear" w:color="auto" w:fill="auto"/>
          </w:tcPr>
          <w:p w:rsidR="0039086E" w:rsidRPr="00D63746" w:rsidRDefault="0039086E" w:rsidP="00BC60C6">
            <w:pPr>
              <w:pStyle w:val="a3"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9086E" w:rsidRDefault="0039086E" w:rsidP="0039086E">
      <w:pPr>
        <w:pStyle w:val="a4"/>
        <w:ind w:firstLine="567"/>
        <w:jc w:val="both"/>
        <w:rPr>
          <w:sz w:val="24"/>
        </w:rPr>
      </w:pP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39086E" w:rsidRDefault="0039086E" w:rsidP="0039086E">
      <w:pPr>
        <w:jc w:val="both"/>
      </w:pP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</w:t>
      </w:r>
      <w:proofErr w:type="gramStart"/>
      <w:r>
        <w:t>п</w:t>
      </w:r>
      <w:proofErr w:type="gramEnd"/>
      <w:r>
        <w:t xml:space="preserve"> 4.11.5</w:t>
      </w:r>
      <w:r w:rsidRPr="001E6D40">
        <w:t xml:space="preserve"> ГОСТ Р 51632-2014 «Технические средства реабилитации людей с ограничениями жизнедеятельности. </w:t>
      </w:r>
      <w:proofErr w:type="gramStart"/>
      <w:r w:rsidRPr="001E6D40">
        <w:t>Общие технические требования и методы испытаний»)</w:t>
      </w:r>
      <w:r>
        <w:t>.</w:t>
      </w:r>
      <w:proofErr w:type="gramEnd"/>
    </w:p>
    <w:p w:rsidR="0039086E" w:rsidRPr="00D63746" w:rsidRDefault="0039086E" w:rsidP="0039086E">
      <w:pPr>
        <w:pStyle w:val="a4"/>
        <w:numPr>
          <w:ilvl w:val="0"/>
          <w:numId w:val="1"/>
        </w:numPr>
        <w:rPr>
          <w:b/>
          <w:sz w:val="24"/>
        </w:rPr>
      </w:pPr>
      <w:r w:rsidRPr="00D63746">
        <w:rPr>
          <w:b/>
          <w:sz w:val="24"/>
        </w:rPr>
        <w:t>Требования к внешнему виду.</w:t>
      </w:r>
    </w:p>
    <w:p w:rsidR="0039086E" w:rsidRPr="00D63746" w:rsidRDefault="0039086E" w:rsidP="0039086E">
      <w:pPr>
        <w:jc w:val="both"/>
      </w:pPr>
      <w:r w:rsidRPr="00D63746">
        <w:t>В пеленках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39086E" w:rsidRPr="005269A8" w:rsidRDefault="0039086E" w:rsidP="0039086E">
      <w:pPr>
        <w:pStyle w:val="a4"/>
        <w:numPr>
          <w:ilvl w:val="0"/>
          <w:numId w:val="1"/>
        </w:numPr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</w:t>
      </w:r>
      <w:r w:rsidRPr="00506AE2">
        <w:rPr>
          <w:sz w:val="24"/>
        </w:rPr>
        <w:t>впитывающих п</w:t>
      </w:r>
      <w:r>
        <w:rPr>
          <w:sz w:val="24"/>
        </w:rPr>
        <w:t>ростыней (пеленок)</w:t>
      </w:r>
      <w:r w:rsidRPr="005269A8">
        <w:rPr>
          <w:sz w:val="24"/>
        </w:rPr>
        <w:t xml:space="preserve">, обеспечивающие их безопасность для здоровья человека, должны соответствовать нормативам согласно ГОСТ ISO 10993 и </w:t>
      </w:r>
      <w:proofErr w:type="gramStart"/>
      <w:r w:rsidRPr="005269A8">
        <w:rPr>
          <w:sz w:val="24"/>
        </w:rPr>
        <w:t>нормативам</w:t>
      </w:r>
      <w:proofErr w:type="gramEnd"/>
      <w:r w:rsidRPr="005269A8">
        <w:rPr>
          <w:sz w:val="24"/>
        </w:rPr>
        <w:t xml:space="preserve">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269A8">
        <w:rPr>
          <w:sz w:val="24"/>
        </w:rPr>
        <w:t>Роспотребнадзора</w:t>
      </w:r>
      <w:proofErr w:type="spellEnd"/>
      <w:r w:rsidRPr="005269A8">
        <w:rPr>
          <w:sz w:val="24"/>
        </w:rPr>
        <w:t xml:space="preserve">) и обеспечивающих безопасность и функциональное назначение </w:t>
      </w:r>
      <w:r w:rsidRPr="00506AE2">
        <w:rPr>
          <w:sz w:val="24"/>
        </w:rPr>
        <w:t>впитывающих простыней (пеленок) для инвалидов</w:t>
      </w:r>
      <w:r w:rsidRPr="005269A8">
        <w:rPr>
          <w:sz w:val="24"/>
        </w:rPr>
        <w:t>.</w:t>
      </w:r>
    </w:p>
    <w:p w:rsidR="0039086E" w:rsidRPr="005269A8" w:rsidRDefault="0039086E" w:rsidP="0039086E">
      <w:pPr>
        <w:pStyle w:val="a4"/>
        <w:numPr>
          <w:ilvl w:val="0"/>
          <w:numId w:val="1"/>
        </w:numPr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Впитывающие простыни (пеленки) для инвалидов в количестве, определяемом производителем, должны быть упакованы по несколько штук в пакеты из полимерной пленки или пачки по ГОСТ 12303-80 «Пачки из картона, бумаги и комбинированных материалов. Общие технические условия», или коробки по ГОСТ 12301-2006 «Коробки из картона, бумаги и комбинированных материалов. Общие технические условия», или другую тару, обеспечивающую сохранность п</w:t>
      </w:r>
      <w:r>
        <w:rPr>
          <w:sz w:val="24"/>
        </w:rPr>
        <w:t>еленок</w:t>
      </w:r>
      <w:r w:rsidRPr="00646AD5">
        <w:rPr>
          <w:sz w:val="24"/>
        </w:rPr>
        <w:t xml:space="preserve"> при транспортировании и хранении. Швы в пакетах из полимерной пленки должны быть заварены.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В один пакет, пачку или коробку упаковывают пеленки одной конструкции,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Пеленки упаковывают в кипу, ящик по ГОСТ 6658-75 «Изделия из бумаги и картона. Упаковка, маркировка, транспортирование и хранение».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Не допускается механическое повреждение упаковки, открывающее доступ к поверхности впитывающей простыни (пеленки).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Маркировка  упаковки впитывающих простыней (пеленок) должна включать: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lastRenderedPageBreak/>
        <w:t xml:space="preserve">- наименование страны - изготовителя;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- наименование и местонахождение изготовителя (поставщика), товарный знак (при наличии);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- наименование простыней (пеленок), товарную марку (при наличии),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- правила по применению впитывающей простыни (пеленки) (в виде рисунков или текста);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- указания по утилизации впитывающей простыни (пеленки): слова «Не бросать в канализацию» и/или рисунок, понятно отображающий эти указания;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- информацию о наличии специальных ингредиентов;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- номер артикула (при наличии);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- количество простыней (пеленок) в упаковке;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- дату (месяц, год) изготовления;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- срок годности, устанавливаемый изготовителем;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- обозначения стандарта;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- штриховой код изделия (при наличии).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Маркировка должна быть хорошо различимой, без искажений и пробелов. 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>Транспортировка изделий 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9086E" w:rsidRPr="00646AD5" w:rsidRDefault="0039086E" w:rsidP="0039086E">
      <w:pPr>
        <w:pStyle w:val="a4"/>
        <w:jc w:val="both"/>
        <w:rPr>
          <w:sz w:val="24"/>
        </w:rPr>
      </w:pPr>
      <w:r w:rsidRPr="00646AD5">
        <w:rPr>
          <w:sz w:val="24"/>
        </w:rPr>
        <w:t xml:space="preserve">Маркировка грузовых мест (транспортной тары) - по ГОСТ 14192-96 «Межгосударственный стандарт. Маркировка грузов» с нанесением манипуляционного знака "Беречь от влаги". Маркировка, характеризующая упакованную продукцию, - по ГОСТ 6658 с указанием номера партии. </w:t>
      </w:r>
    </w:p>
    <w:p w:rsidR="0039086E" w:rsidRPr="00DA74AF" w:rsidRDefault="0039086E" w:rsidP="0039086E">
      <w:pPr>
        <w:pStyle w:val="a4"/>
        <w:jc w:val="both"/>
        <w:rPr>
          <w:sz w:val="24"/>
        </w:rPr>
      </w:pPr>
      <w:proofErr w:type="gramStart"/>
      <w:r w:rsidRPr="00646AD5">
        <w:rPr>
          <w:sz w:val="24"/>
        </w:rPr>
        <w:t>Сопроводительные документы должны содержать информацию, подтверждающую, что поставляемое абсорбирующее белье (впитывающая простынь (пеленка) соответствуют требованиям нормативных документов (стандартов) серии ГОСТ ISO 10993 (разные части) «Изделия медицинские.</w:t>
      </w:r>
      <w:proofErr w:type="gramEnd"/>
      <w:r w:rsidRPr="00646AD5">
        <w:rPr>
          <w:sz w:val="24"/>
        </w:rPr>
        <w:t xml:space="preserve"> Оценка биологического действия медицинских изделий», требованиям по показателям качества, установленным в настоящем техническом задании</w:t>
      </w:r>
      <w:r>
        <w:rPr>
          <w:sz w:val="24"/>
        </w:rPr>
        <w:t>.</w:t>
      </w:r>
    </w:p>
    <w:p w:rsidR="0039086E" w:rsidRPr="005269A8" w:rsidRDefault="0039086E" w:rsidP="0039086E">
      <w:pPr>
        <w:pStyle w:val="a4"/>
        <w:numPr>
          <w:ilvl w:val="0"/>
          <w:numId w:val="1"/>
        </w:numPr>
        <w:rPr>
          <w:b/>
          <w:sz w:val="24"/>
        </w:rPr>
      </w:pPr>
      <w:r w:rsidRPr="005269A8">
        <w:rPr>
          <w:b/>
          <w:sz w:val="24"/>
        </w:rPr>
        <w:t>Требования к приемке товара.</w:t>
      </w: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Заказчик в целях проверки соответствия качества поставляемой продукции имеет право подвергнуть </w:t>
      </w:r>
      <w:r>
        <w:rPr>
          <w:sz w:val="24"/>
        </w:rPr>
        <w:t>впитывающие простыни (пелен</w:t>
      </w:r>
      <w:r w:rsidRPr="00506AE2">
        <w:rPr>
          <w:sz w:val="24"/>
        </w:rPr>
        <w:t>к</w:t>
      </w:r>
      <w:r>
        <w:rPr>
          <w:sz w:val="24"/>
        </w:rPr>
        <w:t xml:space="preserve">и) </w:t>
      </w:r>
      <w:r w:rsidRPr="005269A8">
        <w:rPr>
          <w:sz w:val="24"/>
        </w:rPr>
        <w:t>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Для проведения испытаний, случайным образом от партии отбирают не менее 21 единицы изделий, не менее чем из 3х индивидуальных потребительских упаковок. </w:t>
      </w:r>
      <w:proofErr w:type="gramStart"/>
      <w:r w:rsidRPr="005269A8">
        <w:rPr>
          <w:sz w:val="24"/>
        </w:rPr>
        <w:t xml:space="preserve">За партию Заказчиком и Поставщиком принимается определенное количество </w:t>
      </w:r>
      <w:r w:rsidRPr="00506AE2">
        <w:rPr>
          <w:sz w:val="24"/>
        </w:rPr>
        <w:t>впитывающих п</w:t>
      </w:r>
      <w:r>
        <w:rPr>
          <w:sz w:val="24"/>
        </w:rPr>
        <w:t>ростыней (пеленок)</w:t>
      </w:r>
      <w:r w:rsidRPr="005269A8">
        <w:rPr>
          <w:sz w:val="24"/>
        </w:rPr>
        <w:t xml:space="preserve">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  <w:proofErr w:type="gramEnd"/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</w:t>
      </w:r>
      <w:proofErr w:type="gramStart"/>
      <w:r w:rsidRPr="005269A8">
        <w:rPr>
          <w:sz w:val="24"/>
        </w:rPr>
        <w:t>о о ее</w:t>
      </w:r>
      <w:proofErr w:type="gramEnd"/>
      <w:r w:rsidRPr="005269A8">
        <w:rPr>
          <w:sz w:val="24"/>
        </w:rPr>
        <w:t xml:space="preserve"> возврате Поставщику.</w:t>
      </w: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39086E" w:rsidRPr="005269A8" w:rsidRDefault="0039086E" w:rsidP="0039086E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случае</w:t>
      </w:r>
      <w:proofErr w:type="gramStart"/>
      <w:r w:rsidRPr="005269A8">
        <w:rPr>
          <w:sz w:val="24"/>
        </w:rPr>
        <w:t>,</w:t>
      </w:r>
      <w:proofErr w:type="gramEnd"/>
      <w:r w:rsidRPr="005269A8">
        <w:rPr>
          <w:sz w:val="24"/>
        </w:rPr>
        <w:t xml:space="preserve"> если по результатам верификации качество товара признается не соответствующим требованиям, установленным в техническом задании, и утвержденным национальным стандартам,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 за собственный счет. </w:t>
      </w:r>
    </w:p>
    <w:p w:rsidR="0039086E" w:rsidRDefault="0039086E" w:rsidP="0039086E">
      <w:pPr>
        <w:widowControl w:val="0"/>
        <w:jc w:val="both"/>
      </w:pPr>
      <w:r w:rsidRPr="005269A8">
        <w:t xml:space="preserve"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</w:t>
      </w:r>
      <w:r w:rsidRPr="005269A8">
        <w:lastRenderedPageBreak/>
        <w:t>контракта в одностороннем порядке, о чем письменно уведомляет Поставщика.</w:t>
      </w:r>
    </w:p>
    <w:p w:rsidR="0039086E" w:rsidRDefault="0039086E" w:rsidP="0039086E">
      <w:pPr>
        <w:pStyle w:val="a4"/>
        <w:numPr>
          <w:ilvl w:val="0"/>
          <w:numId w:val="1"/>
        </w:numPr>
        <w:rPr>
          <w:sz w:val="24"/>
          <w:lang w:eastAsia="ar-SA"/>
        </w:rPr>
      </w:pPr>
      <w:r w:rsidRPr="001103E5">
        <w:rPr>
          <w:b/>
          <w:sz w:val="24"/>
        </w:rPr>
        <w:t>Документы</w:t>
      </w:r>
      <w:r w:rsidRPr="00BD1D7D">
        <w:rPr>
          <w:b/>
          <w:sz w:val="22"/>
          <w:szCs w:val="22"/>
        </w:rPr>
        <w:t xml:space="preserve">, </w:t>
      </w:r>
      <w:r w:rsidRPr="003B27A4">
        <w:rPr>
          <w:b/>
          <w:sz w:val="24"/>
        </w:rPr>
        <w:t>подтверждающие</w:t>
      </w:r>
      <w:r w:rsidRPr="00BD1D7D">
        <w:rPr>
          <w:b/>
          <w:sz w:val="22"/>
          <w:szCs w:val="22"/>
        </w:rPr>
        <w:t xml:space="preserve"> качество (соответствие) товара.</w:t>
      </w:r>
    </w:p>
    <w:p w:rsidR="0039086E" w:rsidRPr="008B611F" w:rsidRDefault="0039086E" w:rsidP="0039086E">
      <w:pPr>
        <w:widowControl w:val="0"/>
        <w:jc w:val="both"/>
      </w:pPr>
      <w:r w:rsidRPr="008B611F">
        <w:t xml:space="preserve">Поставить </w:t>
      </w:r>
      <w:r w:rsidRPr="005C28EF">
        <w:t>впитывающие простыни (пеленки)</w:t>
      </w:r>
      <w:r w:rsidRPr="00DA74AF">
        <w:t xml:space="preserve"> </w:t>
      </w:r>
      <w:r w:rsidRPr="008B611F">
        <w:t xml:space="preserve">(далее - Изделия) для 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39086E" w:rsidRPr="001103E5" w:rsidRDefault="0039086E" w:rsidP="0039086E">
      <w:pPr>
        <w:widowControl w:val="0"/>
        <w:jc w:val="both"/>
      </w:pPr>
      <w:r w:rsidRPr="00DA74AF"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</w:t>
      </w:r>
    </w:p>
    <w:p w:rsidR="0094786D" w:rsidRDefault="0094786D"/>
    <w:sectPr w:rsidR="0094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E"/>
    <w:rsid w:val="0039086E"/>
    <w:rsid w:val="009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086E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39086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086E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39086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2018-04-27T12:01:00Z</dcterms:created>
  <dcterms:modified xsi:type="dcterms:W3CDTF">2018-04-27T12:02:00Z</dcterms:modified>
</cp:coreProperties>
</file>