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51" w:rsidRDefault="00AE2651" w:rsidP="00AE2651">
      <w:pPr>
        <w:ind w:right="10"/>
        <w:jc w:val="both"/>
      </w:pPr>
      <w:r>
        <w:t xml:space="preserve">Поставщик должен поставлять </w:t>
      </w:r>
      <w:r>
        <w:rPr>
          <w:bCs/>
        </w:rPr>
        <w:t>специальные</w:t>
      </w:r>
      <w:r w:rsidRPr="000B1D6E">
        <w:rPr>
          <w:bCs/>
        </w:rPr>
        <w:t xml:space="preserve"> средств</w:t>
      </w:r>
      <w:r>
        <w:rPr>
          <w:bCs/>
        </w:rPr>
        <w:t>а</w:t>
      </w:r>
      <w:r w:rsidRPr="000B1D6E">
        <w:rPr>
          <w:bCs/>
        </w:rPr>
        <w:t xml:space="preserve"> при нарушениях </w:t>
      </w:r>
      <w:r>
        <w:rPr>
          <w:bCs/>
        </w:rPr>
        <w:t>функций выделения</w:t>
      </w:r>
      <w:r w:rsidRPr="005174E3">
        <w:t xml:space="preserve"> </w:t>
      </w:r>
      <w:r>
        <w:t>(калоприемники)</w:t>
      </w:r>
      <w:r w:rsidRPr="005174E3">
        <w:t xml:space="preserve"> (далее </w:t>
      </w:r>
      <w:r>
        <w:t xml:space="preserve">- </w:t>
      </w:r>
      <w:r w:rsidRPr="005174E3">
        <w:t>Изделия)</w:t>
      </w:r>
      <w:r>
        <w:t xml:space="preserve"> </w:t>
      </w:r>
      <w:r w:rsidRPr="001B08B9">
        <w:t xml:space="preserve">для </w:t>
      </w:r>
      <w:r>
        <w:t>инвалидов (далее – Получатели) в 2018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AE2651" w:rsidRDefault="00AE2651" w:rsidP="00AE2651">
      <w:pPr>
        <w:autoSpaceDE w:val="0"/>
        <w:autoSpaceDN w:val="0"/>
        <w:adjustRightInd w:val="0"/>
        <w:jc w:val="both"/>
      </w:pPr>
    </w:p>
    <w:p w:rsidR="00AE2651" w:rsidRPr="00F4518A" w:rsidRDefault="00AE2651" w:rsidP="00AE2651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11.12.2018</w:t>
      </w:r>
      <w:r w:rsidRPr="0027353B">
        <w:t xml:space="preserve"> </w:t>
      </w:r>
      <w:r w:rsidRPr="00F4518A">
        <w:t>включительно.</w:t>
      </w:r>
    </w:p>
    <w:p w:rsidR="00AE2651" w:rsidRPr="00B92230" w:rsidRDefault="00AE2651" w:rsidP="00AE2651">
      <w:pPr>
        <w:jc w:val="both"/>
      </w:pPr>
    </w:p>
    <w:p w:rsidR="00AE2651" w:rsidRPr="00EC48D5" w:rsidRDefault="00AE2651" w:rsidP="00AE2651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AE2651" w:rsidRDefault="00AE2651" w:rsidP="00AE2651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AE2651" w:rsidRDefault="00AE2651" w:rsidP="00AE2651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AE2651" w:rsidRPr="00B92230" w:rsidRDefault="00AE2651" w:rsidP="00AE2651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p w:rsidR="00AE2651" w:rsidRDefault="00AE2651" w:rsidP="00AE2651">
      <w:pPr>
        <w:widowControl w:val="0"/>
        <w:jc w:val="both"/>
      </w:pPr>
    </w:p>
    <w:tbl>
      <w:tblPr>
        <w:tblW w:w="1088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2522"/>
        <w:gridCol w:w="992"/>
      </w:tblGrid>
      <w:tr w:rsidR="00AE2651" w:rsidRPr="006C5BDD" w:rsidTr="00015788">
        <w:trPr>
          <w:trHeight w:val="349"/>
        </w:trPr>
        <w:tc>
          <w:tcPr>
            <w:tcW w:w="2552" w:type="dxa"/>
            <w:shd w:val="clear" w:color="auto" w:fill="auto"/>
          </w:tcPr>
          <w:p w:rsidR="00AE2651" w:rsidRPr="006C5BDD" w:rsidRDefault="00AE2651" w:rsidP="006A351E">
            <w:pPr>
              <w:ind w:left="50" w:hanging="50"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977" w:type="dxa"/>
            <w:shd w:val="clear" w:color="auto" w:fill="auto"/>
          </w:tcPr>
          <w:p w:rsidR="00AE2651" w:rsidRPr="006C5BDD" w:rsidRDefault="00AE2651" w:rsidP="006A351E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843" w:type="dxa"/>
            <w:shd w:val="clear" w:color="auto" w:fill="auto"/>
          </w:tcPr>
          <w:p w:rsidR="00AE2651" w:rsidRPr="006C5BDD" w:rsidRDefault="00AE2651" w:rsidP="006A351E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522" w:type="dxa"/>
          </w:tcPr>
          <w:p w:rsidR="00AE2651" w:rsidRPr="006C5BDD" w:rsidRDefault="00AE2651" w:rsidP="006A351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51" w:rsidRPr="006C5BDD" w:rsidRDefault="00AE2651" w:rsidP="006A351E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Количество (шт.)</w:t>
            </w:r>
          </w:p>
        </w:tc>
      </w:tr>
      <w:tr w:rsidR="00925016" w:rsidRPr="006C5BDD" w:rsidTr="00FC0213">
        <w:trPr>
          <w:trHeight w:val="349"/>
        </w:trPr>
        <w:tc>
          <w:tcPr>
            <w:tcW w:w="2552" w:type="dxa"/>
            <w:vMerge w:val="restart"/>
            <w:shd w:val="clear" w:color="auto" w:fill="auto"/>
          </w:tcPr>
          <w:p w:rsidR="00925016" w:rsidRPr="00FC0213" w:rsidRDefault="00FC0213" w:rsidP="00FC0213">
            <w:pPr>
              <w:pStyle w:val="a8"/>
              <w:suppressAutoHyphens/>
              <w:ind w:left="0"/>
            </w:pPr>
            <w:r w:rsidRPr="00FC0213">
              <w:t xml:space="preserve">1. </w:t>
            </w:r>
            <w:r w:rsidR="00925016" w:rsidRPr="00FC0213">
              <w:t xml:space="preserve">Однокомпонентный дренируемый калоприёмник со встроенной плоской пластиной  </w:t>
            </w:r>
          </w:p>
        </w:tc>
        <w:tc>
          <w:tcPr>
            <w:tcW w:w="2977" w:type="dxa"/>
            <w:shd w:val="clear" w:color="auto" w:fill="auto"/>
          </w:tcPr>
          <w:p w:rsidR="00925016" w:rsidRPr="00FC0213" w:rsidRDefault="00925016" w:rsidP="00985ED6">
            <w:r w:rsidRPr="00FC0213">
              <w:t xml:space="preserve">Дренируемый </w:t>
            </w:r>
            <w:proofErr w:type="spellStart"/>
            <w:r w:rsidRPr="00FC0213">
              <w:t>илеостомный</w:t>
            </w:r>
            <w:proofErr w:type="spellEnd"/>
            <w:r w:rsidRPr="00FC0213"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925016" w:rsidRPr="00FC0213" w:rsidRDefault="00925016" w:rsidP="00925016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925016" w:rsidRPr="00FC0213" w:rsidRDefault="00925016" w:rsidP="00925016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925016" w:rsidRPr="00FC0213" w:rsidRDefault="00925016" w:rsidP="00925016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016" w:rsidRPr="00FC0213" w:rsidRDefault="00985ED6" w:rsidP="00925016">
            <w:pPr>
              <w:jc w:val="center"/>
            </w:pPr>
            <w:r>
              <w:t>49000</w:t>
            </w:r>
          </w:p>
        </w:tc>
      </w:tr>
      <w:tr w:rsidR="00925016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925016" w:rsidRPr="00FC0213" w:rsidRDefault="00925016" w:rsidP="00925016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25016" w:rsidRPr="00FC0213" w:rsidRDefault="00925016" w:rsidP="00925016">
            <w:r w:rsidRPr="00FC0213">
              <w:t>Встроенная скрытая застежка на дренажном конце мешка</w:t>
            </w:r>
          </w:p>
        </w:tc>
        <w:tc>
          <w:tcPr>
            <w:tcW w:w="1843" w:type="dxa"/>
            <w:shd w:val="clear" w:color="auto" w:fill="auto"/>
          </w:tcPr>
          <w:p w:rsidR="00925016" w:rsidRPr="00FC0213" w:rsidRDefault="00925016" w:rsidP="00925016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925016" w:rsidRPr="00FC0213" w:rsidRDefault="00925016" w:rsidP="00925016">
            <w:pPr>
              <w:suppressAutoHyphens/>
              <w:jc w:val="center"/>
            </w:pPr>
            <w:r w:rsidRPr="00FC0213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925016" w:rsidRPr="00FC0213" w:rsidRDefault="00925016" w:rsidP="00925016">
            <w:pPr>
              <w:jc w:val="center"/>
            </w:pPr>
          </w:p>
        </w:tc>
      </w:tr>
      <w:tr w:rsidR="00985ED6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985ED6" w:rsidRPr="00FC0213" w:rsidRDefault="00985ED6" w:rsidP="00925016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85ED6" w:rsidRPr="00FC0213" w:rsidRDefault="00985ED6" w:rsidP="00925016">
            <w:r w:rsidRPr="00FC0213">
              <w:t>Материал мешка: непрозрачный, многослойный с нетканым покрытием</w:t>
            </w:r>
          </w:p>
        </w:tc>
        <w:tc>
          <w:tcPr>
            <w:tcW w:w="1843" w:type="dxa"/>
            <w:shd w:val="clear" w:color="auto" w:fill="auto"/>
          </w:tcPr>
          <w:p w:rsidR="00985ED6" w:rsidRPr="00FC0213" w:rsidRDefault="00985ED6" w:rsidP="00925016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  <w:vMerge w:val="restart"/>
          </w:tcPr>
          <w:p w:rsidR="00985ED6" w:rsidRPr="00FC0213" w:rsidRDefault="00985ED6" w:rsidP="00925016">
            <w:pPr>
              <w:suppressAutoHyphens/>
              <w:jc w:val="center"/>
            </w:pPr>
            <w:r w:rsidRPr="00FC0213">
              <w:t xml:space="preserve">Для улучшения качества жизни получателя, мешок должен не протекать и не пропускать запах. </w:t>
            </w:r>
          </w:p>
          <w:p w:rsidR="00985ED6" w:rsidRPr="00FC0213" w:rsidRDefault="00985ED6" w:rsidP="00925016">
            <w:pPr>
              <w:suppressAutoHyphens/>
              <w:jc w:val="center"/>
            </w:pPr>
            <w:r w:rsidRPr="00FC0213">
              <w:t>Покрытие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985ED6" w:rsidRPr="00FC0213" w:rsidRDefault="00985ED6" w:rsidP="00925016">
            <w:pPr>
              <w:jc w:val="center"/>
            </w:pPr>
          </w:p>
        </w:tc>
      </w:tr>
      <w:tr w:rsidR="00985ED6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985ED6" w:rsidRPr="00FC0213" w:rsidRDefault="00985ED6" w:rsidP="00925016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85ED6" w:rsidRPr="00FC0213" w:rsidRDefault="00985ED6" w:rsidP="00925016">
            <w:r w:rsidRPr="00FC0213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985ED6" w:rsidRPr="00FC0213" w:rsidRDefault="00985ED6" w:rsidP="00925016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  <w:vMerge/>
          </w:tcPr>
          <w:p w:rsidR="00985ED6" w:rsidRPr="00FC0213" w:rsidRDefault="00985ED6" w:rsidP="00925016">
            <w:pPr>
              <w:suppressAutoHyphens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85ED6" w:rsidRPr="00FC0213" w:rsidRDefault="00985ED6" w:rsidP="00925016">
            <w:pPr>
              <w:jc w:val="center"/>
            </w:pPr>
          </w:p>
        </w:tc>
      </w:tr>
      <w:tr w:rsidR="00985ED6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985ED6" w:rsidRPr="00FC0213" w:rsidRDefault="00985ED6" w:rsidP="00985ED6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85ED6" w:rsidRPr="00FC0213" w:rsidRDefault="00985ED6" w:rsidP="00985ED6">
            <w:r w:rsidRPr="00FC0213">
              <w:t xml:space="preserve">Встроенная в </w:t>
            </w:r>
            <w:proofErr w:type="spellStart"/>
            <w:r w:rsidRPr="00FC0213">
              <w:t>стомный</w:t>
            </w:r>
            <w:proofErr w:type="spellEnd"/>
            <w:r w:rsidRPr="00FC0213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985ED6" w:rsidRPr="00FC0213" w:rsidRDefault="00985ED6" w:rsidP="00985ED6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985ED6" w:rsidRPr="00985ED6" w:rsidRDefault="00985ED6" w:rsidP="00985ED6">
            <w:pPr>
              <w:suppressAutoHyphens/>
              <w:jc w:val="center"/>
              <w:rPr>
                <w:lang w:eastAsia="ar-SA"/>
              </w:rPr>
            </w:pPr>
            <w:r w:rsidRPr="00985ED6">
              <w:rPr>
                <w:lang w:eastAsia="ar-SA"/>
              </w:rPr>
              <w:t xml:space="preserve">Приказ Министерства труда и социальной защиты РФ от </w:t>
            </w:r>
          </w:p>
          <w:p w:rsidR="00985ED6" w:rsidRPr="00985ED6" w:rsidRDefault="00985ED6" w:rsidP="00985ED6">
            <w:pPr>
              <w:suppressAutoHyphens/>
              <w:jc w:val="center"/>
            </w:pPr>
            <w:r w:rsidRPr="00985ED6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985ED6" w:rsidRPr="00FC0213" w:rsidRDefault="00985ED6" w:rsidP="00985ED6">
            <w:pPr>
              <w:jc w:val="center"/>
            </w:pPr>
          </w:p>
        </w:tc>
      </w:tr>
      <w:tr w:rsidR="00985ED6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985ED6" w:rsidRPr="00FC0213" w:rsidRDefault="00985ED6" w:rsidP="00985ED6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85ED6" w:rsidRPr="00FC0213" w:rsidRDefault="00985ED6" w:rsidP="00985ED6">
            <w:r w:rsidRPr="00FC0213">
              <w:t xml:space="preserve">Основа адгезивной пластины: </w:t>
            </w:r>
            <w:proofErr w:type="spellStart"/>
            <w:r w:rsidRPr="00FC0213">
              <w:t>гипоаллергенная</w:t>
            </w:r>
            <w:proofErr w:type="spellEnd"/>
            <w:r w:rsidRPr="00FC0213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985ED6" w:rsidRPr="00FC0213" w:rsidRDefault="00985ED6" w:rsidP="00985ED6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985ED6" w:rsidRPr="006C5BDD" w:rsidRDefault="00985ED6" w:rsidP="00985ED6">
            <w:pPr>
              <w:widowControl w:val="0"/>
              <w:suppressAutoHyphens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ГОСТ ISO 10993-10-2011</w:t>
            </w:r>
          </w:p>
        </w:tc>
        <w:tc>
          <w:tcPr>
            <w:tcW w:w="992" w:type="dxa"/>
            <w:vMerge/>
            <w:shd w:val="clear" w:color="auto" w:fill="auto"/>
          </w:tcPr>
          <w:p w:rsidR="00985ED6" w:rsidRPr="00FC0213" w:rsidRDefault="00985ED6" w:rsidP="00985ED6">
            <w:pPr>
              <w:jc w:val="center"/>
            </w:pPr>
          </w:p>
        </w:tc>
      </w:tr>
      <w:tr w:rsidR="00985ED6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985ED6" w:rsidRPr="00FC0213" w:rsidRDefault="00985ED6" w:rsidP="00985ED6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85ED6" w:rsidRPr="00985ED6" w:rsidRDefault="00985ED6" w:rsidP="00985ED6">
            <w:r w:rsidRPr="00985ED6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985ED6" w:rsidRPr="00985ED6" w:rsidRDefault="00985ED6" w:rsidP="00985ED6">
            <w:pPr>
              <w:jc w:val="center"/>
            </w:pPr>
            <w:r w:rsidRPr="00985ED6">
              <w:t>наличие</w:t>
            </w:r>
          </w:p>
        </w:tc>
        <w:tc>
          <w:tcPr>
            <w:tcW w:w="2522" w:type="dxa"/>
          </w:tcPr>
          <w:p w:rsidR="00985ED6" w:rsidRPr="00985ED6" w:rsidRDefault="00985ED6" w:rsidP="00985ED6">
            <w:pPr>
              <w:suppressAutoHyphens/>
              <w:jc w:val="center"/>
            </w:pPr>
            <w:r w:rsidRPr="00985ED6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985ED6" w:rsidRPr="00FC0213" w:rsidRDefault="00985ED6" w:rsidP="00985ED6">
            <w:pPr>
              <w:jc w:val="center"/>
            </w:pPr>
          </w:p>
        </w:tc>
      </w:tr>
      <w:tr w:rsidR="00925016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925016" w:rsidRPr="00FC0213" w:rsidRDefault="00925016" w:rsidP="00925016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25016" w:rsidRPr="00FC0213" w:rsidRDefault="00925016" w:rsidP="00925016">
            <w:r w:rsidRPr="00FC0213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925016" w:rsidRPr="00FC0213" w:rsidRDefault="00925016" w:rsidP="00925016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925016" w:rsidRPr="00FC0213" w:rsidRDefault="00925016" w:rsidP="0092501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925016" w:rsidRPr="00FC0213" w:rsidRDefault="00925016" w:rsidP="00925016">
            <w:pPr>
              <w:suppressAutoHyphens/>
              <w:jc w:val="center"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925016" w:rsidRPr="00FC0213" w:rsidRDefault="00925016" w:rsidP="00925016">
            <w:pPr>
              <w:jc w:val="center"/>
            </w:pPr>
          </w:p>
        </w:tc>
      </w:tr>
      <w:tr w:rsidR="00925016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925016" w:rsidRPr="00FC0213" w:rsidRDefault="00925016" w:rsidP="00925016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25016" w:rsidRPr="00FC0213" w:rsidRDefault="00925016" w:rsidP="00925016">
            <w:pPr>
              <w:spacing w:line="240" w:lineRule="atLeast"/>
            </w:pPr>
            <w:r w:rsidRPr="00FC0213">
              <w:t>Максимальный размер вырезаемого отверстия адгезивной пластины не менее 65х75 мм (включительно)</w:t>
            </w:r>
          </w:p>
        </w:tc>
        <w:tc>
          <w:tcPr>
            <w:tcW w:w="1843" w:type="dxa"/>
            <w:shd w:val="clear" w:color="auto" w:fill="auto"/>
          </w:tcPr>
          <w:p w:rsidR="00925016" w:rsidRPr="00FC0213" w:rsidRDefault="00925016" w:rsidP="00925016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925016" w:rsidRPr="00FC0213" w:rsidRDefault="00925016" w:rsidP="0092501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925016" w:rsidRPr="00FC0213" w:rsidRDefault="00925016" w:rsidP="00925016">
            <w:pPr>
              <w:suppressAutoHyphens/>
              <w:jc w:val="center"/>
            </w:pPr>
            <w:r w:rsidRPr="00FC0213">
              <w:t xml:space="preserve">(размер </w:t>
            </w:r>
            <w:proofErr w:type="spellStart"/>
            <w:r w:rsidRPr="00FC0213">
              <w:t>стомы</w:t>
            </w:r>
            <w:proofErr w:type="spellEnd"/>
            <w:r w:rsidRPr="00FC0213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925016" w:rsidRPr="00FC0213" w:rsidRDefault="00925016" w:rsidP="00925016">
            <w:pPr>
              <w:jc w:val="center"/>
            </w:pPr>
          </w:p>
        </w:tc>
      </w:tr>
      <w:tr w:rsidR="00D17582" w:rsidRPr="006C5BDD" w:rsidTr="00FC0213">
        <w:trPr>
          <w:trHeight w:val="349"/>
        </w:trPr>
        <w:tc>
          <w:tcPr>
            <w:tcW w:w="2552" w:type="dxa"/>
            <w:vMerge w:val="restart"/>
            <w:shd w:val="clear" w:color="auto" w:fill="auto"/>
          </w:tcPr>
          <w:p w:rsidR="00D17582" w:rsidRPr="00FC0213" w:rsidRDefault="00D17582" w:rsidP="00D17582">
            <w:r w:rsidRPr="00FC0213">
              <w:t xml:space="preserve">2. Однокомпонентный дренируемый калоприёмник со встроенной </w:t>
            </w:r>
            <w:proofErr w:type="spellStart"/>
            <w:r w:rsidRPr="00FC0213">
              <w:t>конвексной</w:t>
            </w:r>
            <w:proofErr w:type="spellEnd"/>
            <w:r w:rsidRPr="00FC0213">
              <w:t xml:space="preserve"> пластиной </w:t>
            </w:r>
          </w:p>
          <w:p w:rsidR="00D17582" w:rsidRPr="00FC0213" w:rsidRDefault="00D17582" w:rsidP="00D17582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D17582" w:rsidRPr="00FC0213" w:rsidRDefault="00D17582" w:rsidP="00D17582">
            <w:r w:rsidRPr="00FC0213">
              <w:t xml:space="preserve">Дренируемый </w:t>
            </w:r>
            <w:proofErr w:type="spellStart"/>
            <w:r w:rsidRPr="00FC0213">
              <w:t>илеостомный</w:t>
            </w:r>
            <w:proofErr w:type="spellEnd"/>
            <w:r w:rsidRPr="00FC0213">
              <w:t xml:space="preserve"> мешок анатомической формы</w:t>
            </w:r>
          </w:p>
        </w:tc>
        <w:tc>
          <w:tcPr>
            <w:tcW w:w="1843" w:type="dxa"/>
            <w:shd w:val="clear" w:color="auto" w:fill="auto"/>
          </w:tcPr>
          <w:p w:rsidR="00D17582" w:rsidRPr="00FC0213" w:rsidRDefault="00D17582" w:rsidP="00D17582">
            <w:pPr>
              <w:jc w:val="center"/>
            </w:pPr>
            <w:r w:rsidRPr="00FC0213">
              <w:t xml:space="preserve">наличие </w:t>
            </w:r>
          </w:p>
        </w:tc>
        <w:tc>
          <w:tcPr>
            <w:tcW w:w="2522" w:type="dxa"/>
          </w:tcPr>
          <w:p w:rsidR="00D17582" w:rsidRPr="00FC0213" w:rsidRDefault="00D17582" w:rsidP="00D17582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D17582" w:rsidRPr="00FC0213" w:rsidRDefault="00D17582" w:rsidP="00D17582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7582" w:rsidRPr="00FC0213" w:rsidRDefault="00D17582" w:rsidP="00CF0B73">
            <w:pPr>
              <w:jc w:val="center"/>
            </w:pPr>
            <w:r w:rsidRPr="00FC0213">
              <w:t>3</w:t>
            </w:r>
            <w:r w:rsidR="00CF0B73">
              <w:t>000</w:t>
            </w:r>
          </w:p>
        </w:tc>
      </w:tr>
      <w:tr w:rsidR="00D17582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D17582" w:rsidRPr="00FC0213" w:rsidRDefault="00D17582" w:rsidP="00D17582"/>
        </w:tc>
        <w:tc>
          <w:tcPr>
            <w:tcW w:w="2977" w:type="dxa"/>
            <w:shd w:val="clear" w:color="auto" w:fill="auto"/>
          </w:tcPr>
          <w:p w:rsidR="00D17582" w:rsidRPr="00FC0213" w:rsidRDefault="00D17582" w:rsidP="00D17582">
            <w:r w:rsidRPr="00FC0213">
              <w:t>Материал мешка: непрозрачный, многослойный с нетканым покрытием</w:t>
            </w:r>
          </w:p>
        </w:tc>
        <w:tc>
          <w:tcPr>
            <w:tcW w:w="1843" w:type="dxa"/>
            <w:shd w:val="clear" w:color="auto" w:fill="auto"/>
          </w:tcPr>
          <w:p w:rsidR="00D17582" w:rsidRPr="00FC0213" w:rsidRDefault="00D17582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  <w:vMerge w:val="restart"/>
          </w:tcPr>
          <w:p w:rsidR="00D17582" w:rsidRPr="00FC0213" w:rsidRDefault="00D17582" w:rsidP="00D17582">
            <w:pPr>
              <w:jc w:val="center"/>
            </w:pPr>
            <w:r w:rsidRPr="00FC0213">
              <w:t>Для улучшения качества жизни получателя, мешок должен не протекать и не пропускать запах</w:t>
            </w:r>
          </w:p>
          <w:p w:rsidR="00D17582" w:rsidRPr="00FC0213" w:rsidRDefault="00D17582" w:rsidP="00D17582">
            <w:pPr>
              <w:jc w:val="center"/>
            </w:pPr>
            <w:r w:rsidRPr="00FC0213">
              <w:t>Покрытие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D17582" w:rsidRPr="00FC0213" w:rsidRDefault="00D17582" w:rsidP="00D17582">
            <w:pPr>
              <w:jc w:val="center"/>
            </w:pPr>
          </w:p>
        </w:tc>
      </w:tr>
      <w:tr w:rsidR="00D17582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D17582" w:rsidRPr="00FC0213" w:rsidRDefault="00D17582" w:rsidP="00D17582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D17582" w:rsidRPr="00FC0213" w:rsidRDefault="00D17582" w:rsidP="00D17582">
            <w:r w:rsidRPr="00FC0213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D17582" w:rsidRPr="00FC0213" w:rsidRDefault="00D17582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  <w:vMerge/>
          </w:tcPr>
          <w:p w:rsidR="00D17582" w:rsidRPr="00FC0213" w:rsidRDefault="00D17582" w:rsidP="00D1758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17582" w:rsidRPr="00FC0213" w:rsidRDefault="00D17582" w:rsidP="00D17582">
            <w:pPr>
              <w:jc w:val="center"/>
            </w:pPr>
          </w:p>
        </w:tc>
      </w:tr>
      <w:tr w:rsidR="00D17582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D17582" w:rsidRPr="00FC0213" w:rsidRDefault="00D17582" w:rsidP="00D17582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D17582" w:rsidRPr="00FC0213" w:rsidRDefault="00D17582" w:rsidP="00D17582">
            <w:r w:rsidRPr="00FC0213">
              <w:t xml:space="preserve">Встроенная в </w:t>
            </w:r>
            <w:proofErr w:type="spellStart"/>
            <w:r w:rsidRPr="00FC0213">
              <w:t>стомный</w:t>
            </w:r>
            <w:proofErr w:type="spellEnd"/>
            <w:r w:rsidRPr="00FC0213">
              <w:t xml:space="preserve"> мешок </w:t>
            </w:r>
            <w:proofErr w:type="spellStart"/>
            <w:r w:rsidRPr="00FC0213">
              <w:t>конвексная</w:t>
            </w:r>
            <w:proofErr w:type="spellEnd"/>
            <w:r w:rsidRPr="00FC0213">
              <w:t xml:space="preserve">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D17582" w:rsidRPr="00FC0213" w:rsidRDefault="00D17582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D17582" w:rsidRPr="00FC0213" w:rsidRDefault="00D17582" w:rsidP="00D17582">
            <w:pPr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 xml:space="preserve">Приказ Министерства труда и социальной защиты РФ от </w:t>
            </w:r>
          </w:p>
          <w:p w:rsidR="00D17582" w:rsidRPr="00FC0213" w:rsidRDefault="00D17582" w:rsidP="00D17582">
            <w:pPr>
              <w:suppressAutoHyphens/>
              <w:jc w:val="center"/>
            </w:pPr>
            <w:r w:rsidRPr="00FC0213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D17582" w:rsidRPr="00FC0213" w:rsidRDefault="00D17582" w:rsidP="00D17582">
            <w:pPr>
              <w:jc w:val="center"/>
            </w:pPr>
          </w:p>
        </w:tc>
      </w:tr>
      <w:tr w:rsidR="00D17582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D17582" w:rsidRPr="00FC0213" w:rsidRDefault="00D17582" w:rsidP="00D17582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D17582" w:rsidRPr="00FC0213" w:rsidRDefault="00D17582" w:rsidP="00D17582">
            <w:r w:rsidRPr="00FC0213">
              <w:t>Встроенная скрытая застежка на дренажном конце мешка</w:t>
            </w:r>
          </w:p>
        </w:tc>
        <w:tc>
          <w:tcPr>
            <w:tcW w:w="1843" w:type="dxa"/>
            <w:shd w:val="clear" w:color="auto" w:fill="auto"/>
          </w:tcPr>
          <w:p w:rsidR="00D17582" w:rsidRPr="00FC0213" w:rsidRDefault="00D17582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D17582" w:rsidRPr="00FC0213" w:rsidRDefault="00D17582" w:rsidP="00D17582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D17582" w:rsidRPr="00FC0213" w:rsidRDefault="00D17582" w:rsidP="00D17582">
            <w:pPr>
              <w:jc w:val="center"/>
            </w:pPr>
          </w:p>
        </w:tc>
      </w:tr>
      <w:tr w:rsidR="00D17582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D17582" w:rsidRPr="00FC0213" w:rsidRDefault="00D17582" w:rsidP="00D17582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D17582" w:rsidRPr="00FC0213" w:rsidRDefault="00D17582" w:rsidP="00D17582">
            <w:r w:rsidRPr="00FC0213">
              <w:t xml:space="preserve">Основа </w:t>
            </w:r>
            <w:proofErr w:type="spellStart"/>
            <w:r w:rsidRPr="00FC0213">
              <w:t>конвексной</w:t>
            </w:r>
            <w:proofErr w:type="spellEnd"/>
            <w:r w:rsidRPr="00FC0213">
              <w:t xml:space="preserve"> адгезивной пластины: </w:t>
            </w:r>
            <w:proofErr w:type="spellStart"/>
            <w:r w:rsidRPr="00FC0213">
              <w:t>гипоаллергенная</w:t>
            </w:r>
            <w:proofErr w:type="spellEnd"/>
            <w:r w:rsidRPr="00FC0213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D17582" w:rsidRPr="00FC0213" w:rsidRDefault="00D17582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D17582" w:rsidRPr="00FC0213" w:rsidRDefault="00D17582" w:rsidP="00D17582">
            <w:pPr>
              <w:widowControl w:val="0"/>
              <w:suppressAutoHyphens/>
              <w:jc w:val="center"/>
            </w:pPr>
            <w:r w:rsidRPr="00FC0213">
              <w:t>ГОСТ ISO 10993-10-2011</w:t>
            </w:r>
          </w:p>
          <w:p w:rsidR="00D17582" w:rsidRPr="00FC0213" w:rsidRDefault="00D17582" w:rsidP="00D17582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17582" w:rsidRPr="00FC0213" w:rsidRDefault="00D17582" w:rsidP="00D17582">
            <w:pPr>
              <w:jc w:val="center"/>
            </w:pPr>
          </w:p>
        </w:tc>
      </w:tr>
      <w:tr w:rsidR="00D17582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D17582" w:rsidRPr="00FC0213" w:rsidRDefault="00D17582" w:rsidP="00D17582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D17582" w:rsidRPr="00FC0213" w:rsidRDefault="00D17582" w:rsidP="00D17582">
            <w:r w:rsidRPr="00FC0213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D17582" w:rsidRPr="00FC0213" w:rsidRDefault="00D17582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D17582" w:rsidRPr="00FC0213" w:rsidRDefault="00D17582" w:rsidP="00D17582">
            <w:pPr>
              <w:suppressAutoHyphens/>
              <w:jc w:val="center"/>
            </w:pPr>
            <w:r w:rsidRPr="00FC0213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D17582" w:rsidRPr="00FC0213" w:rsidRDefault="00D17582" w:rsidP="00D17582">
            <w:pPr>
              <w:jc w:val="center"/>
            </w:pPr>
          </w:p>
        </w:tc>
      </w:tr>
      <w:tr w:rsidR="00D17582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D17582" w:rsidRPr="00FC0213" w:rsidRDefault="00D17582" w:rsidP="00D17582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D17582" w:rsidRPr="00FC0213" w:rsidRDefault="00D17582" w:rsidP="00D17582">
            <w:r w:rsidRPr="00FC0213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D17582" w:rsidRPr="00FC0213" w:rsidRDefault="00D17582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D17582" w:rsidRPr="00FC0213" w:rsidRDefault="00D17582" w:rsidP="00D17582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D17582" w:rsidRPr="00FC0213" w:rsidRDefault="00D17582" w:rsidP="00D17582">
            <w:pPr>
              <w:suppressAutoHyphens/>
              <w:jc w:val="center"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D17582" w:rsidRPr="00FC0213" w:rsidRDefault="00D17582" w:rsidP="00D17582">
            <w:pPr>
              <w:jc w:val="center"/>
            </w:pPr>
          </w:p>
        </w:tc>
      </w:tr>
      <w:tr w:rsidR="00985ED6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985ED6" w:rsidRPr="00FC0213" w:rsidRDefault="00985ED6" w:rsidP="00985ED6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985ED6" w:rsidRPr="00FC0213" w:rsidRDefault="00985ED6" w:rsidP="00985ED6">
            <w:r w:rsidRPr="00FC0213">
              <w:t xml:space="preserve">Шаблон для вырезания отверстия под </w:t>
            </w:r>
            <w:proofErr w:type="spellStart"/>
            <w:r w:rsidRPr="00FC0213">
              <w:t>стому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85ED6" w:rsidRPr="00FC0213" w:rsidRDefault="00985ED6" w:rsidP="00985ED6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985ED6" w:rsidRPr="00FC0213" w:rsidRDefault="00985ED6" w:rsidP="00985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985ED6" w:rsidRPr="00FC0213" w:rsidRDefault="00985ED6" w:rsidP="00985ED6">
            <w:pPr>
              <w:suppressAutoHyphens/>
              <w:jc w:val="center"/>
            </w:pPr>
            <w:r w:rsidRPr="00FC0213">
              <w:lastRenderedPageBreak/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985ED6" w:rsidRPr="00FC0213" w:rsidRDefault="00985ED6" w:rsidP="00985ED6">
            <w:pPr>
              <w:jc w:val="center"/>
            </w:pPr>
          </w:p>
        </w:tc>
      </w:tr>
      <w:tr w:rsidR="00D17582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D17582" w:rsidRPr="00FC0213" w:rsidRDefault="00D17582" w:rsidP="00D17582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17582" w:rsidRPr="00FC0213" w:rsidRDefault="00D17582" w:rsidP="00D17582">
            <w:r w:rsidRPr="00FC0213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D17582" w:rsidRPr="00FC0213" w:rsidRDefault="00D17582" w:rsidP="00D17582">
            <w:pPr>
              <w:jc w:val="center"/>
            </w:pPr>
            <w:r w:rsidRPr="00FC0213">
              <w:t>не менее 43 мм (включительно)</w:t>
            </w:r>
          </w:p>
        </w:tc>
        <w:tc>
          <w:tcPr>
            <w:tcW w:w="2522" w:type="dxa"/>
          </w:tcPr>
          <w:p w:rsidR="00985ED6" w:rsidRPr="006C5BDD" w:rsidRDefault="00985ED6" w:rsidP="00985ED6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D17582" w:rsidRPr="00FC0213" w:rsidRDefault="00985ED6" w:rsidP="00985ED6">
            <w:pPr>
              <w:suppressAutoHyphens/>
              <w:jc w:val="center"/>
            </w:pPr>
            <w:r w:rsidRPr="006C5BDD">
              <w:rPr>
                <w:sz w:val="22"/>
                <w:szCs w:val="22"/>
              </w:rPr>
              <w:t xml:space="preserve">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D17582" w:rsidRPr="00FC0213" w:rsidRDefault="00D17582" w:rsidP="00D17582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 w:val="restart"/>
            <w:shd w:val="clear" w:color="auto" w:fill="auto"/>
          </w:tcPr>
          <w:p w:rsidR="00863AF5" w:rsidRPr="00FC0213" w:rsidRDefault="00863AF5" w:rsidP="00D17582">
            <w:pPr>
              <w:suppressAutoHyphens/>
              <w:spacing w:line="240" w:lineRule="atLeast"/>
              <w:rPr>
                <w:bCs/>
              </w:rPr>
            </w:pPr>
            <w:r w:rsidRPr="00FC0213">
              <w:rPr>
                <w:bCs/>
              </w:rPr>
              <w:t xml:space="preserve">3. </w:t>
            </w:r>
            <w:r w:rsidRPr="00FC0213">
              <w:t xml:space="preserve">Однокомпонентный дренируемый калоприёмник со встроенной плоской пластиной 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D17582">
            <w:r w:rsidRPr="00FC0213">
              <w:t xml:space="preserve">Дренируемый </w:t>
            </w:r>
            <w:proofErr w:type="spellStart"/>
            <w:r w:rsidRPr="00FC0213">
              <w:t>илеостомный</w:t>
            </w:r>
            <w:proofErr w:type="spellEnd"/>
            <w:r w:rsidRPr="00FC0213">
              <w:t xml:space="preserve"> мешок анатомической формы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D17582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863AF5" w:rsidRPr="00FC0213" w:rsidRDefault="00863AF5" w:rsidP="00D17582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3AF5" w:rsidRPr="00FC0213" w:rsidRDefault="00CF0B73" w:rsidP="00D17582">
            <w:pPr>
              <w:jc w:val="center"/>
            </w:pPr>
            <w:r>
              <w:t>1200</w:t>
            </w: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D17582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D17582">
            <w:r w:rsidRPr="00FC0213">
              <w:t>Материал мешка: непрозрачный, многослойный с нетканым покрытием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  <w:vMerge w:val="restart"/>
          </w:tcPr>
          <w:p w:rsidR="00863AF5" w:rsidRPr="00FC0213" w:rsidRDefault="00863AF5" w:rsidP="00D17582">
            <w:pPr>
              <w:jc w:val="center"/>
            </w:pPr>
            <w:r w:rsidRPr="00FC0213">
              <w:t>Для улучшения качества жизни получателя, мешок должен не протекать и не пропускать запах</w:t>
            </w:r>
          </w:p>
          <w:p w:rsidR="00863AF5" w:rsidRPr="00FC0213" w:rsidRDefault="00863AF5" w:rsidP="00D17582">
            <w:pPr>
              <w:jc w:val="center"/>
            </w:pPr>
            <w:r w:rsidRPr="00FC0213">
              <w:t>Покрытие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D17582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D17582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D17582">
            <w:r w:rsidRPr="00FC0213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  <w:vMerge/>
          </w:tcPr>
          <w:p w:rsidR="00863AF5" w:rsidRPr="00FC0213" w:rsidRDefault="00863AF5" w:rsidP="00D1758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D17582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D17582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D17582">
            <w:r w:rsidRPr="00FC0213">
              <w:t xml:space="preserve">Встроенная в </w:t>
            </w:r>
            <w:proofErr w:type="spellStart"/>
            <w:r w:rsidRPr="00FC0213">
              <w:t>стомный</w:t>
            </w:r>
            <w:proofErr w:type="spellEnd"/>
            <w:r w:rsidRPr="00FC0213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D17582">
            <w:pPr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 xml:space="preserve">Приказ Министерства труда и социальной защиты РФ от </w:t>
            </w:r>
          </w:p>
          <w:p w:rsidR="00863AF5" w:rsidRPr="00FC0213" w:rsidRDefault="00863AF5" w:rsidP="00D17582">
            <w:pPr>
              <w:suppressAutoHyphens/>
              <w:jc w:val="center"/>
            </w:pPr>
            <w:r w:rsidRPr="00FC0213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D17582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D17582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D17582">
            <w:r w:rsidRPr="00FC0213">
              <w:t>Встроенная скрытая застежка на дренажном конце мешка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D17582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D17582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D17582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D17582">
            <w:r w:rsidRPr="00FC0213">
              <w:t xml:space="preserve">Основа адгезивной пластины: двухслойная, </w:t>
            </w:r>
            <w:proofErr w:type="spellStart"/>
            <w:r w:rsidRPr="00FC0213">
              <w:t>гипоаллергенная</w:t>
            </w:r>
            <w:proofErr w:type="spellEnd"/>
            <w:r w:rsidRPr="00FC0213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D17582">
            <w:pPr>
              <w:widowControl w:val="0"/>
              <w:suppressAutoHyphens/>
              <w:jc w:val="center"/>
            </w:pPr>
            <w:r w:rsidRPr="00FC0213">
              <w:t>ГОСТ ISO 10993-10-2011</w:t>
            </w:r>
          </w:p>
          <w:p w:rsidR="00863AF5" w:rsidRPr="00FC0213" w:rsidRDefault="00863AF5" w:rsidP="00D17582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D17582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D17582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D17582">
            <w:r w:rsidRPr="00FC0213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D17582">
            <w:pPr>
              <w:suppressAutoHyphens/>
              <w:jc w:val="center"/>
            </w:pPr>
            <w:r w:rsidRPr="00FC0213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D17582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D17582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D17582">
            <w:r w:rsidRPr="00FC0213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D17582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D17582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863AF5" w:rsidRPr="00FC0213" w:rsidRDefault="00863AF5" w:rsidP="00D17582">
            <w:pPr>
              <w:suppressAutoHyphens/>
              <w:jc w:val="center"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D17582">
            <w:pPr>
              <w:jc w:val="center"/>
            </w:pPr>
          </w:p>
        </w:tc>
      </w:tr>
      <w:tr w:rsidR="00985ED6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985ED6" w:rsidRPr="00FC0213" w:rsidRDefault="00985ED6" w:rsidP="00985ED6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85ED6" w:rsidRPr="00FC0213" w:rsidRDefault="00985ED6" w:rsidP="00985ED6">
            <w:r w:rsidRPr="00FC0213">
              <w:t xml:space="preserve">Шаблон для вырезания отверстия под </w:t>
            </w:r>
            <w:proofErr w:type="spellStart"/>
            <w:r w:rsidRPr="00FC0213">
              <w:t>стому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85ED6" w:rsidRPr="00FC0213" w:rsidRDefault="00985ED6" w:rsidP="00985ED6">
            <w:pPr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985ED6" w:rsidRPr="00FC0213" w:rsidRDefault="00985ED6" w:rsidP="00985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985ED6" w:rsidRPr="00FC0213" w:rsidRDefault="00985ED6" w:rsidP="00985ED6">
            <w:pPr>
              <w:suppressAutoHyphens/>
              <w:jc w:val="center"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985ED6" w:rsidRPr="00FC0213" w:rsidRDefault="00985ED6" w:rsidP="00985ED6">
            <w:pPr>
              <w:jc w:val="center"/>
            </w:pPr>
          </w:p>
        </w:tc>
      </w:tr>
      <w:tr w:rsidR="00985ED6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985ED6" w:rsidRPr="00FC0213" w:rsidRDefault="00985ED6" w:rsidP="00985ED6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85ED6" w:rsidRPr="00FC0213" w:rsidRDefault="00985ED6" w:rsidP="00985ED6">
            <w:r w:rsidRPr="00FC0213">
              <w:t xml:space="preserve">Максимальный диаметр вырезаемого отверстия адгезивной пластины </w:t>
            </w:r>
          </w:p>
        </w:tc>
        <w:tc>
          <w:tcPr>
            <w:tcW w:w="1843" w:type="dxa"/>
            <w:shd w:val="clear" w:color="auto" w:fill="auto"/>
          </w:tcPr>
          <w:p w:rsidR="00985ED6" w:rsidRPr="00FC0213" w:rsidRDefault="00985ED6" w:rsidP="00985ED6">
            <w:pPr>
              <w:jc w:val="center"/>
            </w:pPr>
            <w:r w:rsidRPr="00FC0213">
              <w:t>не менее 76 мм (включительно)</w:t>
            </w:r>
          </w:p>
        </w:tc>
        <w:tc>
          <w:tcPr>
            <w:tcW w:w="2522" w:type="dxa"/>
          </w:tcPr>
          <w:p w:rsidR="00985ED6" w:rsidRPr="006C5BDD" w:rsidRDefault="00985ED6" w:rsidP="00985ED6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985ED6" w:rsidRPr="006C5BDD" w:rsidRDefault="00985ED6" w:rsidP="00985ED6">
            <w:pPr>
              <w:suppressAutoHyphens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 xml:space="preserve">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985ED6" w:rsidRPr="00FC0213" w:rsidRDefault="00985ED6" w:rsidP="00985ED6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 w:val="restart"/>
            <w:shd w:val="clear" w:color="auto" w:fill="auto"/>
          </w:tcPr>
          <w:p w:rsidR="00863AF5" w:rsidRPr="00FC0213" w:rsidRDefault="00863AF5" w:rsidP="00863AF5">
            <w:pPr>
              <w:pStyle w:val="Standard"/>
              <w:spacing w:line="240" w:lineRule="atLeast"/>
            </w:pPr>
            <w:r w:rsidRPr="00FC0213">
              <w:rPr>
                <w:lang w:val="ru-RU"/>
              </w:rPr>
              <w:t>4</w:t>
            </w:r>
            <w:r w:rsidRPr="00FC0213">
              <w:t>.</w:t>
            </w:r>
            <w:r w:rsidRPr="00FC0213">
              <w:rPr>
                <w:lang w:val="ru-RU"/>
              </w:rPr>
              <w:t xml:space="preserve"> </w:t>
            </w:r>
            <w:proofErr w:type="spellStart"/>
            <w:r w:rsidRPr="00FC0213">
              <w:t>Однокомпонентный</w:t>
            </w:r>
            <w:proofErr w:type="spellEnd"/>
          </w:p>
          <w:p w:rsidR="00863AF5" w:rsidRPr="00FC0213" w:rsidRDefault="00863AF5" w:rsidP="00863AF5">
            <w:pPr>
              <w:suppressAutoHyphens/>
            </w:pPr>
            <w:proofErr w:type="spellStart"/>
            <w:r w:rsidRPr="00FC0213">
              <w:t>недренируемый</w:t>
            </w:r>
            <w:proofErr w:type="spellEnd"/>
            <w:r w:rsidRPr="00FC0213">
              <w:t xml:space="preserve"> калоприёмник со </w:t>
            </w:r>
            <w:r w:rsidRPr="00FC0213">
              <w:lastRenderedPageBreak/>
              <w:t>встроенной плоской пластиной</w:t>
            </w:r>
          </w:p>
          <w:p w:rsidR="00863AF5" w:rsidRPr="00FC0213" w:rsidRDefault="00863AF5" w:rsidP="00863AF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863AF5">
            <w:pPr>
              <w:spacing w:line="240" w:lineRule="atLeast"/>
            </w:pPr>
            <w:proofErr w:type="spellStart"/>
            <w:r w:rsidRPr="00FC0213">
              <w:lastRenderedPageBreak/>
              <w:t>Недренируемый</w:t>
            </w:r>
            <w:proofErr w:type="spellEnd"/>
            <w:r w:rsidRPr="00FC0213">
              <w:t xml:space="preserve"> </w:t>
            </w:r>
            <w:proofErr w:type="spellStart"/>
            <w:r w:rsidRPr="00FC0213">
              <w:t>колостомный</w:t>
            </w:r>
            <w:proofErr w:type="spellEnd"/>
            <w:r w:rsidRPr="00FC0213">
              <w:t xml:space="preserve"> мешок анатомической формы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863A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863AF5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863AF5" w:rsidRPr="00FC0213" w:rsidRDefault="00863AF5" w:rsidP="00863AF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lastRenderedPageBreak/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3AF5" w:rsidRPr="00FC0213" w:rsidRDefault="00863AF5" w:rsidP="00863AF5">
            <w:pPr>
              <w:jc w:val="center"/>
            </w:pPr>
            <w:r w:rsidRPr="00FC0213">
              <w:lastRenderedPageBreak/>
              <w:t>15000</w:t>
            </w: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863AF5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863AF5">
            <w:r w:rsidRPr="00FC0213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863A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  <w:vMerge w:val="restart"/>
          </w:tcPr>
          <w:p w:rsidR="00863AF5" w:rsidRPr="00FC0213" w:rsidRDefault="00863AF5" w:rsidP="00863AF5">
            <w:pPr>
              <w:jc w:val="center"/>
            </w:pPr>
            <w:r w:rsidRPr="00FC0213">
              <w:t>Для улучшения качества жизни получателя, мешок должен не протекать и не пропускать запах</w:t>
            </w:r>
          </w:p>
          <w:p w:rsidR="00863AF5" w:rsidRPr="00FC0213" w:rsidRDefault="00863AF5" w:rsidP="00863AF5">
            <w:pPr>
              <w:jc w:val="center"/>
            </w:pPr>
            <w:r w:rsidRPr="00FC0213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863AF5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863AF5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863AF5">
            <w:pPr>
              <w:snapToGrid w:val="0"/>
              <w:spacing w:line="240" w:lineRule="atLeast"/>
              <w:rPr>
                <w:lang w:eastAsia="ar-SA"/>
              </w:rPr>
            </w:pPr>
            <w:r w:rsidRPr="00FC0213">
              <w:rPr>
                <w:bCs/>
              </w:rPr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863A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  <w:vMerge/>
          </w:tcPr>
          <w:p w:rsidR="00863AF5" w:rsidRPr="00FC0213" w:rsidRDefault="00863AF5" w:rsidP="00863AF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863AF5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863AF5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863AF5">
            <w:pPr>
              <w:spacing w:line="240" w:lineRule="atLeast"/>
            </w:pPr>
            <w:r w:rsidRPr="00FC0213">
              <w:t xml:space="preserve">Встроенная в </w:t>
            </w:r>
            <w:proofErr w:type="spellStart"/>
            <w:r w:rsidRPr="00FC0213">
              <w:t>стомный</w:t>
            </w:r>
            <w:proofErr w:type="spellEnd"/>
            <w:r w:rsidRPr="00FC0213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863A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863AF5">
            <w:pPr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 xml:space="preserve">Приказ Министерства труда и социальной защиты РФ от </w:t>
            </w:r>
          </w:p>
          <w:p w:rsidR="00863AF5" w:rsidRPr="00FC0213" w:rsidRDefault="00863AF5" w:rsidP="00863AF5">
            <w:pPr>
              <w:suppressAutoHyphens/>
              <w:jc w:val="center"/>
            </w:pPr>
            <w:r w:rsidRPr="00FC0213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863AF5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863AF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863AF5">
            <w:pPr>
              <w:spacing w:line="240" w:lineRule="atLeast"/>
            </w:pPr>
            <w:r w:rsidRPr="00FC0213">
              <w:t xml:space="preserve">Основа адгезивной пластины: </w:t>
            </w:r>
            <w:proofErr w:type="spellStart"/>
            <w:r w:rsidRPr="00FC0213">
              <w:t>гипоаллергенная</w:t>
            </w:r>
            <w:proofErr w:type="spellEnd"/>
            <w:r w:rsidRPr="00FC0213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863A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863AF5">
            <w:pPr>
              <w:widowControl w:val="0"/>
              <w:suppressAutoHyphens/>
              <w:jc w:val="center"/>
            </w:pPr>
            <w:r w:rsidRPr="00FC0213">
              <w:t>ГОСТ ISO 10993-10-2011</w:t>
            </w:r>
          </w:p>
          <w:p w:rsidR="00863AF5" w:rsidRPr="00FC0213" w:rsidRDefault="00863AF5" w:rsidP="00863AF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863AF5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863AF5">
            <w:pPr>
              <w:suppressAutoHyphens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863AF5">
            <w:r w:rsidRPr="00FC0213">
              <w:t xml:space="preserve">Два </w:t>
            </w:r>
            <w:proofErr w:type="spellStart"/>
            <w:r w:rsidRPr="00FC0213">
              <w:t>адгезива</w:t>
            </w:r>
            <w:proofErr w:type="spellEnd"/>
            <w:r w:rsidRPr="00FC0213">
              <w:t xml:space="preserve"> на клеевом слое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863A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863A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t>Защита кожи и безболезненное отклеивание калоприемника</w:t>
            </w: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863AF5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863AF5">
            <w:pPr>
              <w:suppressAutoHyphens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863AF5">
            <w:pPr>
              <w:spacing w:line="240" w:lineRule="atLeast"/>
            </w:pPr>
            <w:r w:rsidRPr="00FC0213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863A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863AF5">
            <w:pPr>
              <w:suppressAutoHyphens/>
              <w:jc w:val="center"/>
            </w:pPr>
            <w:r w:rsidRPr="00FC0213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863AF5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863AF5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863AF5">
            <w:pPr>
              <w:spacing w:line="240" w:lineRule="atLeast"/>
            </w:pPr>
            <w:r w:rsidRPr="00FC0213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863A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863A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863AF5" w:rsidRPr="00FC0213" w:rsidRDefault="00863AF5" w:rsidP="00863AF5">
            <w:pPr>
              <w:suppressAutoHyphens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863AF5">
            <w:pPr>
              <w:jc w:val="center"/>
            </w:pPr>
          </w:p>
        </w:tc>
      </w:tr>
      <w:tr w:rsidR="00863AF5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863AF5" w:rsidRPr="00FC0213" w:rsidRDefault="00863AF5" w:rsidP="00863AF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63AF5" w:rsidRPr="00FC0213" w:rsidRDefault="00863AF5" w:rsidP="00863AF5">
            <w:pPr>
              <w:spacing w:line="240" w:lineRule="atLeast"/>
            </w:pPr>
            <w:r w:rsidRPr="00FC0213">
              <w:t>Максимальный размер вырезаемого</w:t>
            </w:r>
            <w:r w:rsidR="00FC0213">
              <w:t xml:space="preserve"> отверстия адгезивной пластины </w:t>
            </w:r>
            <w:r w:rsidRPr="00FC0213">
              <w:t>не менее 65х75 мм (включительно)</w:t>
            </w:r>
          </w:p>
        </w:tc>
        <w:tc>
          <w:tcPr>
            <w:tcW w:w="1843" w:type="dxa"/>
            <w:shd w:val="clear" w:color="auto" w:fill="auto"/>
          </w:tcPr>
          <w:p w:rsidR="00863AF5" w:rsidRPr="00FC0213" w:rsidRDefault="00863AF5" w:rsidP="00863A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863AF5" w:rsidRPr="00FC0213" w:rsidRDefault="00863AF5" w:rsidP="00863A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863AF5" w:rsidRPr="00FC0213" w:rsidRDefault="00863AF5" w:rsidP="00863AF5">
            <w:pPr>
              <w:suppressAutoHyphens/>
              <w:jc w:val="center"/>
            </w:pPr>
            <w:r w:rsidRPr="00FC0213">
              <w:t xml:space="preserve">(размер </w:t>
            </w:r>
            <w:proofErr w:type="spellStart"/>
            <w:r w:rsidRPr="00FC0213">
              <w:t>стомы</w:t>
            </w:r>
            <w:proofErr w:type="spellEnd"/>
            <w:r w:rsidRPr="00FC0213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863AF5" w:rsidRPr="00FC0213" w:rsidRDefault="00863AF5" w:rsidP="00863AF5">
            <w:pPr>
              <w:jc w:val="center"/>
            </w:pPr>
          </w:p>
        </w:tc>
      </w:tr>
      <w:tr w:rsidR="00FC0213" w:rsidRPr="006C5BDD" w:rsidTr="00FC0213">
        <w:trPr>
          <w:trHeight w:val="349"/>
        </w:trPr>
        <w:tc>
          <w:tcPr>
            <w:tcW w:w="2552" w:type="dxa"/>
            <w:vMerge w:val="restart"/>
            <w:shd w:val="clear" w:color="auto" w:fill="auto"/>
          </w:tcPr>
          <w:p w:rsidR="00FC0213" w:rsidRPr="00FC0213" w:rsidRDefault="00FC0213" w:rsidP="00FC0213">
            <w:pPr>
              <w:pStyle w:val="Standard"/>
              <w:spacing w:line="240" w:lineRule="atLeast"/>
            </w:pPr>
            <w:r w:rsidRPr="00FC0213">
              <w:t xml:space="preserve">5. </w:t>
            </w:r>
            <w:proofErr w:type="spellStart"/>
            <w:r w:rsidRPr="00FC0213">
              <w:t>Однокомпонентный</w:t>
            </w:r>
            <w:proofErr w:type="spellEnd"/>
          </w:p>
          <w:p w:rsidR="00FC0213" w:rsidRPr="00FC0213" w:rsidRDefault="00FC0213" w:rsidP="00FC0213">
            <w:pPr>
              <w:suppressAutoHyphens/>
            </w:pPr>
            <w:proofErr w:type="spellStart"/>
            <w:r w:rsidRPr="00FC0213">
              <w:t>недренируемый</w:t>
            </w:r>
            <w:proofErr w:type="spellEnd"/>
            <w:r w:rsidRPr="00FC0213">
              <w:t xml:space="preserve"> калоприёмник со встроенной плоской пластиной</w:t>
            </w:r>
          </w:p>
          <w:p w:rsidR="00FC0213" w:rsidRPr="00FC0213" w:rsidRDefault="00FC0213" w:rsidP="00FC0213">
            <w:pPr>
              <w:suppressAutoHyphens/>
            </w:pPr>
          </w:p>
        </w:tc>
        <w:tc>
          <w:tcPr>
            <w:tcW w:w="2977" w:type="dxa"/>
            <w:shd w:val="clear" w:color="auto" w:fill="auto"/>
          </w:tcPr>
          <w:p w:rsidR="00FC0213" w:rsidRPr="00FC0213" w:rsidRDefault="00FC0213" w:rsidP="00FC0213">
            <w:pPr>
              <w:spacing w:line="240" w:lineRule="atLeast"/>
            </w:pPr>
            <w:proofErr w:type="spellStart"/>
            <w:r w:rsidRPr="00FC0213">
              <w:t>Недренируемый</w:t>
            </w:r>
            <w:proofErr w:type="spellEnd"/>
            <w:r w:rsidRPr="00FC0213">
              <w:t xml:space="preserve"> </w:t>
            </w:r>
            <w:proofErr w:type="spellStart"/>
            <w:r w:rsidRPr="00FC0213">
              <w:t>колостомный</w:t>
            </w:r>
            <w:proofErr w:type="spellEnd"/>
            <w:r w:rsidRPr="00FC0213"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FC0213" w:rsidRPr="00FC0213" w:rsidRDefault="00FC0213" w:rsidP="00FC0213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FC0213" w:rsidRPr="00FC0213" w:rsidRDefault="00FC0213" w:rsidP="00FC0213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FC0213" w:rsidRPr="00FC0213" w:rsidRDefault="00FC0213" w:rsidP="00FC0213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0213" w:rsidRPr="00FC0213" w:rsidRDefault="00FC0213" w:rsidP="00FC0213">
            <w:pPr>
              <w:jc w:val="center"/>
            </w:pPr>
            <w:r w:rsidRPr="00FC0213">
              <w:t>1200</w:t>
            </w:r>
          </w:p>
        </w:tc>
      </w:tr>
      <w:tr w:rsidR="00FC0213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C0213" w:rsidRPr="00FC0213" w:rsidRDefault="00FC0213" w:rsidP="00FC0213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FC0213" w:rsidRPr="00FC0213" w:rsidRDefault="00FC0213" w:rsidP="00FC0213">
            <w:r w:rsidRPr="00FC0213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FC0213" w:rsidRPr="00FC0213" w:rsidRDefault="00FC0213" w:rsidP="00FC0213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  <w:vMerge w:val="restart"/>
          </w:tcPr>
          <w:p w:rsidR="00FC0213" w:rsidRPr="00FC0213" w:rsidRDefault="00FC0213" w:rsidP="00FC0213">
            <w:pPr>
              <w:jc w:val="center"/>
            </w:pPr>
            <w:r w:rsidRPr="00FC0213">
              <w:t>Для улучшения качества жизни получателя, мешок должен не протекать и не пропускать запах</w:t>
            </w:r>
          </w:p>
          <w:p w:rsidR="00FC0213" w:rsidRPr="00FC0213" w:rsidRDefault="00FC0213" w:rsidP="00FC0213">
            <w:pPr>
              <w:jc w:val="center"/>
            </w:pPr>
            <w:r w:rsidRPr="00FC0213">
              <w:t xml:space="preserve">Подложка защищает кожу от раздражения, </w:t>
            </w:r>
            <w:r w:rsidRPr="00FC0213">
              <w:lastRenderedPageBreak/>
              <w:t>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FC0213" w:rsidRPr="00FC0213" w:rsidRDefault="00FC0213" w:rsidP="00FC0213">
            <w:pPr>
              <w:jc w:val="center"/>
            </w:pPr>
          </w:p>
        </w:tc>
      </w:tr>
      <w:tr w:rsidR="00FC0213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C0213" w:rsidRPr="00FC0213" w:rsidRDefault="00FC0213" w:rsidP="00FC0213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FC0213" w:rsidRPr="00FC0213" w:rsidRDefault="00FC0213" w:rsidP="00FC0213">
            <w:pPr>
              <w:snapToGrid w:val="0"/>
              <w:spacing w:line="240" w:lineRule="atLeast"/>
              <w:rPr>
                <w:lang w:eastAsia="ar-SA"/>
              </w:rPr>
            </w:pPr>
            <w:r w:rsidRPr="00FC0213">
              <w:rPr>
                <w:bCs/>
              </w:rPr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FC0213" w:rsidRPr="00FC0213" w:rsidRDefault="00FC0213" w:rsidP="00FC0213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  <w:vMerge/>
          </w:tcPr>
          <w:p w:rsidR="00FC0213" w:rsidRPr="00FC0213" w:rsidRDefault="00FC0213" w:rsidP="00FC0213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C0213" w:rsidRPr="00FC0213" w:rsidRDefault="00FC0213" w:rsidP="00FC0213">
            <w:pPr>
              <w:jc w:val="center"/>
            </w:pPr>
          </w:p>
        </w:tc>
      </w:tr>
      <w:tr w:rsidR="00FC0213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C0213" w:rsidRPr="00FC0213" w:rsidRDefault="00FC0213" w:rsidP="00FC0213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FC0213" w:rsidRPr="00FC0213" w:rsidRDefault="00FC0213" w:rsidP="00FC0213">
            <w:pPr>
              <w:spacing w:line="240" w:lineRule="atLeast"/>
            </w:pPr>
            <w:r w:rsidRPr="00FC0213">
              <w:t xml:space="preserve">Встроенная в </w:t>
            </w:r>
            <w:proofErr w:type="spellStart"/>
            <w:r w:rsidRPr="00FC0213">
              <w:t>стомный</w:t>
            </w:r>
            <w:proofErr w:type="spellEnd"/>
            <w:r w:rsidRPr="00FC0213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FC0213" w:rsidRPr="00FC0213" w:rsidRDefault="00FC0213" w:rsidP="00FC0213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FC0213" w:rsidRPr="00FC0213" w:rsidRDefault="00FC0213" w:rsidP="00FC0213">
            <w:pPr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 xml:space="preserve">Приказ Министерства труда и социальной защиты РФ от </w:t>
            </w:r>
          </w:p>
          <w:p w:rsidR="00FC0213" w:rsidRPr="00FC0213" w:rsidRDefault="00FC0213" w:rsidP="00FC0213">
            <w:pPr>
              <w:suppressAutoHyphens/>
              <w:jc w:val="center"/>
            </w:pPr>
            <w:r w:rsidRPr="00FC0213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FC0213" w:rsidRPr="00FC0213" w:rsidRDefault="00FC0213" w:rsidP="00FC0213">
            <w:pPr>
              <w:jc w:val="center"/>
            </w:pPr>
          </w:p>
        </w:tc>
      </w:tr>
      <w:tr w:rsidR="00FC0213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C0213" w:rsidRPr="00FC0213" w:rsidRDefault="00FC0213" w:rsidP="00FC0213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FC0213" w:rsidRPr="00FC0213" w:rsidRDefault="00FC0213" w:rsidP="00FC0213">
            <w:pPr>
              <w:spacing w:line="240" w:lineRule="atLeast"/>
            </w:pPr>
            <w:r w:rsidRPr="00FC0213">
              <w:t xml:space="preserve">Основа адгезивной пластины: двухслойная, </w:t>
            </w:r>
            <w:proofErr w:type="spellStart"/>
            <w:r w:rsidRPr="00FC0213">
              <w:t>гипоаллергенная</w:t>
            </w:r>
            <w:proofErr w:type="spellEnd"/>
            <w:r w:rsidRPr="00FC0213">
              <w:t>, гидроколлоидная.</w:t>
            </w:r>
          </w:p>
        </w:tc>
        <w:tc>
          <w:tcPr>
            <w:tcW w:w="1843" w:type="dxa"/>
            <w:shd w:val="clear" w:color="auto" w:fill="auto"/>
          </w:tcPr>
          <w:p w:rsidR="00FC0213" w:rsidRPr="00FC0213" w:rsidRDefault="00FC0213" w:rsidP="00FC0213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FC0213" w:rsidRPr="00FC0213" w:rsidRDefault="00FC0213" w:rsidP="00FC0213">
            <w:pPr>
              <w:widowControl w:val="0"/>
              <w:suppressAutoHyphens/>
              <w:jc w:val="center"/>
            </w:pPr>
            <w:r w:rsidRPr="00FC0213">
              <w:t>ГОСТ ISO 10993-10-2011</w:t>
            </w:r>
          </w:p>
          <w:p w:rsidR="00FC0213" w:rsidRPr="00FC0213" w:rsidRDefault="00FC0213" w:rsidP="00FC0213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0213" w:rsidRPr="00FC0213" w:rsidRDefault="00FC0213" w:rsidP="00FC0213">
            <w:pPr>
              <w:jc w:val="center"/>
            </w:pPr>
          </w:p>
        </w:tc>
      </w:tr>
      <w:tr w:rsidR="00FC0213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C0213" w:rsidRPr="00FC0213" w:rsidRDefault="00FC0213" w:rsidP="00FC0213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FC0213" w:rsidRPr="00FC0213" w:rsidRDefault="00FC0213" w:rsidP="00FC0213">
            <w:pPr>
              <w:spacing w:line="240" w:lineRule="atLeast"/>
            </w:pPr>
            <w:r w:rsidRPr="00FC0213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FC0213" w:rsidRPr="00FC0213" w:rsidRDefault="00FC0213" w:rsidP="00FC0213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FC0213" w:rsidRPr="00FC0213" w:rsidRDefault="00FC0213" w:rsidP="00FC0213">
            <w:pPr>
              <w:suppressAutoHyphens/>
              <w:jc w:val="center"/>
            </w:pPr>
            <w:r w:rsidRPr="00FC0213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FC0213" w:rsidRPr="00FC0213" w:rsidRDefault="00FC0213" w:rsidP="00FC0213">
            <w:pPr>
              <w:jc w:val="center"/>
            </w:pPr>
          </w:p>
        </w:tc>
      </w:tr>
      <w:tr w:rsidR="00FC0213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C0213" w:rsidRPr="00FC0213" w:rsidRDefault="00FC0213" w:rsidP="00FC0213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FC0213" w:rsidRPr="00FC0213" w:rsidRDefault="00FC0213" w:rsidP="00FC0213">
            <w:pPr>
              <w:spacing w:line="240" w:lineRule="atLeast"/>
            </w:pPr>
            <w:r w:rsidRPr="00FC0213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FC0213" w:rsidRPr="00FC0213" w:rsidRDefault="00FC0213" w:rsidP="00FC0213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FC0213" w:rsidRPr="00FC0213" w:rsidRDefault="00FC0213" w:rsidP="00FC0213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FC0213" w:rsidRPr="00FC0213" w:rsidRDefault="00FC0213" w:rsidP="00FC0213">
            <w:pPr>
              <w:suppressAutoHyphens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FC0213" w:rsidRPr="00FC0213" w:rsidRDefault="00FC0213" w:rsidP="00FC0213">
            <w:pPr>
              <w:jc w:val="center"/>
            </w:pPr>
          </w:p>
        </w:tc>
      </w:tr>
      <w:tr w:rsidR="00FC0213" w:rsidRPr="006C5BDD" w:rsidTr="00FC0213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C0213" w:rsidRPr="00FC0213" w:rsidRDefault="00FC0213" w:rsidP="00FC0213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FC0213" w:rsidRPr="00FC0213" w:rsidRDefault="00FC0213" w:rsidP="00FC0213">
            <w:pPr>
              <w:spacing w:line="240" w:lineRule="atLeast"/>
            </w:pPr>
            <w:r w:rsidRPr="00FC0213">
              <w:t>Максимальный размер вырезаемого</w:t>
            </w:r>
            <w:r w:rsidR="00CF0B73">
              <w:t xml:space="preserve"> отверстия адгезивной пластины </w:t>
            </w:r>
            <w:r w:rsidRPr="00FC0213">
              <w:t>не менее 10х76 мм (включительно)</w:t>
            </w:r>
          </w:p>
        </w:tc>
        <w:tc>
          <w:tcPr>
            <w:tcW w:w="1843" w:type="dxa"/>
            <w:shd w:val="clear" w:color="auto" w:fill="auto"/>
          </w:tcPr>
          <w:p w:rsidR="00FC0213" w:rsidRPr="00FC0213" w:rsidRDefault="00FC0213" w:rsidP="00FC0213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522" w:type="dxa"/>
          </w:tcPr>
          <w:p w:rsidR="00FC0213" w:rsidRPr="00FC0213" w:rsidRDefault="00FC0213" w:rsidP="00FC0213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FC0213" w:rsidRPr="00FC0213" w:rsidRDefault="00FC0213" w:rsidP="00FC0213">
            <w:pPr>
              <w:suppressAutoHyphens/>
              <w:jc w:val="center"/>
            </w:pPr>
            <w:r w:rsidRPr="00FC0213">
              <w:t xml:space="preserve">(размер </w:t>
            </w:r>
            <w:proofErr w:type="spellStart"/>
            <w:r w:rsidRPr="00FC0213">
              <w:t>стомы</w:t>
            </w:r>
            <w:proofErr w:type="spellEnd"/>
            <w:r w:rsidRPr="00FC0213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FC0213" w:rsidRPr="00FC0213" w:rsidRDefault="00FC0213" w:rsidP="00FC0213">
            <w:pPr>
              <w:jc w:val="center"/>
            </w:pPr>
          </w:p>
        </w:tc>
      </w:tr>
      <w:tr w:rsidR="00FC0213" w:rsidRPr="006C5BDD" w:rsidTr="00FC0213">
        <w:trPr>
          <w:trHeight w:val="349"/>
        </w:trPr>
        <w:tc>
          <w:tcPr>
            <w:tcW w:w="9894" w:type="dxa"/>
            <w:gridSpan w:val="4"/>
            <w:shd w:val="clear" w:color="auto" w:fill="auto"/>
          </w:tcPr>
          <w:p w:rsidR="00FC0213" w:rsidRPr="00FC0213" w:rsidRDefault="00FC0213" w:rsidP="00FC0213">
            <w:pPr>
              <w:widowControl w:val="0"/>
              <w:suppressAutoHyphens/>
              <w:snapToGrid w:val="0"/>
              <w:jc w:val="right"/>
            </w:pPr>
            <w:r w:rsidRPr="00FC0213"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C0213" w:rsidRPr="00FC0213" w:rsidRDefault="00CF0B73" w:rsidP="00FC0213">
            <w:pPr>
              <w:jc w:val="center"/>
            </w:pPr>
            <w:r>
              <w:t>69400</w:t>
            </w:r>
          </w:p>
        </w:tc>
      </w:tr>
    </w:tbl>
    <w:p w:rsidR="00AE2651" w:rsidRDefault="00925016" w:rsidP="00AE2651">
      <w:pPr>
        <w:jc w:val="both"/>
      </w:pPr>
      <w:r>
        <w:tab/>
      </w:r>
      <w:r>
        <w:tab/>
      </w:r>
    </w:p>
    <w:p w:rsidR="00AE2651" w:rsidRDefault="00AE2651" w:rsidP="00AE2651">
      <w:pPr>
        <w:jc w:val="both"/>
      </w:pPr>
      <w:r>
        <w:t>1.4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(п 4.11.5</w:t>
      </w:r>
      <w:r w:rsidRPr="001E6D40"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t>.</w:t>
      </w:r>
    </w:p>
    <w:p w:rsidR="00AE2651" w:rsidRDefault="00AE2651" w:rsidP="00AE2651">
      <w:pPr>
        <w:jc w:val="both"/>
      </w:pPr>
    </w:p>
    <w:p w:rsidR="00AE2651" w:rsidRPr="00612097" w:rsidRDefault="00AE2651" w:rsidP="00AE2651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AE2651" w:rsidRDefault="00AE2651" w:rsidP="00AE2651">
      <w:pPr>
        <w:jc w:val="both"/>
        <w:rPr>
          <w:rFonts w:ascii="Times New Roman CYR" w:hAnsi="Times New Roman CYR" w:cs="Times New Roman CYR"/>
        </w:rPr>
      </w:pPr>
      <w:r w:rsidRPr="00732037">
        <w:rPr>
          <w:lang w:eastAsia="ar-SA"/>
        </w:rPr>
        <w:t xml:space="preserve">2.1. </w:t>
      </w:r>
      <w:r w:rsidRPr="001B08B9">
        <w:t>Поставлять Изделия</w:t>
      </w:r>
      <w:r>
        <w:t xml:space="preserve"> </w:t>
      </w:r>
      <w:r w:rsidRPr="001B08B9">
        <w:t xml:space="preserve">для </w:t>
      </w:r>
      <w:r>
        <w:t xml:space="preserve">Получателей, </w:t>
      </w:r>
      <w:r w:rsidRPr="006A16E1">
        <w:rPr>
          <w:spacing w:val="-4"/>
        </w:rPr>
        <w:t xml:space="preserve">имеющие </w:t>
      </w:r>
      <w:r>
        <w:rPr>
          <w:rFonts w:ascii="Times New Roman CYR" w:hAnsi="Times New Roman CYR" w:cs="Times New Roman CYR"/>
        </w:rPr>
        <w:t xml:space="preserve">действующие регистрационные удостоверения, выданные Федеральной службой по надзору в сфере здравоохранения. </w:t>
      </w:r>
    </w:p>
    <w:p w:rsidR="00AE2651" w:rsidRDefault="00AE2651" w:rsidP="00AE2651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AE2651" w:rsidRDefault="00AE2651" w:rsidP="00AE2651">
      <w:pPr>
        <w:autoSpaceDE w:val="0"/>
        <w:autoSpaceDN w:val="0"/>
        <w:adjustRightInd w:val="0"/>
        <w:outlineLvl w:val="0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AE2651" w:rsidRDefault="00AE2651" w:rsidP="00AE2651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E2651" w:rsidRDefault="00AE2651" w:rsidP="00AE2651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AE2651" w:rsidRDefault="00AE2651" w:rsidP="00AE2651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AE2651" w:rsidRDefault="00AE2651" w:rsidP="00AE2651">
      <w:pPr>
        <w:jc w:val="both"/>
      </w:pPr>
      <w:r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</w:t>
      </w:r>
      <w:r>
        <w:lastRenderedPageBreak/>
        <w:t>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AE2651" w:rsidRDefault="00AE2651" w:rsidP="00AE2651">
      <w:pPr>
        <w:tabs>
          <w:tab w:val="left" w:pos="9724"/>
        </w:tabs>
        <w:ind w:right="10"/>
        <w:jc w:val="both"/>
      </w:pPr>
      <w:r w:rsidRPr="007E21C7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AE2651" w:rsidRDefault="00AE2651" w:rsidP="00AE2651">
      <w:pPr>
        <w:jc w:val="both"/>
        <w:rPr>
          <w:sz w:val="22"/>
          <w:szCs w:val="22"/>
        </w:rPr>
      </w:pPr>
      <w:r w:rsidRPr="007E21C7">
        <w:t>2.4. Давать справки Получателям</w:t>
      </w:r>
      <w:r>
        <w:t xml:space="preserve">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AE2651" w:rsidRDefault="00AE2651" w:rsidP="00AE2651">
      <w:pPr>
        <w:jc w:val="both"/>
      </w:pPr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AE2651" w:rsidRDefault="00AE2651" w:rsidP="00AE2651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AE2651" w:rsidRPr="0014478F" w:rsidRDefault="00AE2651" w:rsidP="00AE2651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AE2651" w:rsidRDefault="00AE2651" w:rsidP="00AE2651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</w:p>
    <w:p w:rsidR="00AE2651" w:rsidRDefault="00AE2651" w:rsidP="00AE2651">
      <w:pPr>
        <w:jc w:val="both"/>
        <w:rPr>
          <w:rFonts w:ascii="Times New Roman CYR" w:hAnsi="Times New Roman CYR" w:cs="Times New Roman CYR"/>
        </w:rPr>
      </w:pPr>
      <w:r>
        <w:t xml:space="preserve">2.6. </w:t>
      </w:r>
      <w:r>
        <w:rPr>
          <w:rFonts w:ascii="Times New Roman CYR" w:hAnsi="Times New Roman CYR" w:cs="Times New Roman CYR"/>
        </w:rPr>
        <w:t xml:space="preserve">Осуществлять передачу Изделий (в комплектации в соответствии с настоящим техническим заданием) подобранных врачом - </w:t>
      </w:r>
      <w:proofErr w:type="spellStart"/>
      <w:r>
        <w:rPr>
          <w:rFonts w:ascii="Times New Roman CYR" w:hAnsi="Times New Roman CYR" w:cs="Times New Roman CYR"/>
        </w:rPr>
        <w:t>колопроктологом</w:t>
      </w:r>
      <w:proofErr w:type="spellEnd"/>
      <w:r>
        <w:rPr>
          <w:rFonts w:ascii="Times New Roman CYR" w:hAnsi="Times New Roman CYR" w:cs="Times New Roman CYR"/>
        </w:rPr>
        <w:t xml:space="preserve"> или врачом-онкологом по размерам Получателей, в зависимости от вида имеющейся патологии, функциональных нарушений и особенностей течения заболевания, вида, формы и размера </w:t>
      </w:r>
      <w:proofErr w:type="spellStart"/>
      <w:r>
        <w:rPr>
          <w:rFonts w:ascii="Times New Roman CYR" w:hAnsi="Times New Roman CYR" w:cs="Times New Roman CYR"/>
        </w:rPr>
        <w:t>стомы</w:t>
      </w:r>
      <w:proofErr w:type="spellEnd"/>
      <w:r>
        <w:rPr>
          <w:rFonts w:ascii="Times New Roman CYR" w:hAnsi="Times New Roman CYR" w:cs="Times New Roman CYR"/>
        </w:rPr>
        <w:t xml:space="preserve">, состояния кожи вокруг неё; по месту нахождения пунктов - в день обращения Получателей, либо с доставкой на дом - </w:t>
      </w:r>
      <w:r w:rsidRPr="00284B6C">
        <w:rPr>
          <w:lang w:eastAsia="ar-SA"/>
        </w:rPr>
        <w:t xml:space="preserve">в срок </w:t>
      </w:r>
      <w:r w:rsidRPr="00461E9A">
        <w:rPr>
          <w:lang w:eastAsia="ar-SA"/>
        </w:rPr>
        <w:t>не более 5 (пяти) рабочих дней</w:t>
      </w:r>
      <w:r w:rsidRPr="00284B6C">
        <w:rPr>
          <w:lang w:eastAsia="ar-SA"/>
        </w:rPr>
        <w:t xml:space="preserve"> со дня получения от Получателя направления</w:t>
      </w:r>
      <w:r>
        <w:rPr>
          <w:lang w:eastAsia="ar-SA"/>
        </w:rPr>
        <w:t xml:space="preserve"> и письменного заявления </w:t>
      </w:r>
      <w:r w:rsidRPr="00AF2AAC">
        <w:rPr>
          <w:lang w:eastAsia="ar-SA"/>
        </w:rPr>
        <w:t>в адрес поставщика с указанием адреса доставки и телефона</w:t>
      </w:r>
      <w:r w:rsidRPr="00284B6C">
        <w:rPr>
          <w:rFonts w:ascii="Times New Roman CYR" w:hAnsi="Times New Roman CYR" w:cs="Times New Roman CYR"/>
        </w:rPr>
        <w:t>.</w:t>
      </w:r>
    </w:p>
    <w:p w:rsidR="00AE2651" w:rsidRDefault="00AE2651" w:rsidP="00AE2651">
      <w:pPr>
        <w:jc w:val="both"/>
      </w:pPr>
      <w:r>
        <w:t xml:space="preserve">2.7. </w:t>
      </w:r>
      <w:r w:rsidRPr="0014478F">
        <w:t>Давать справки Получателям по вопросам, связанным с поставкой Изделий, в часы работы пунктов</w:t>
      </w:r>
      <w:r>
        <w:t xml:space="preserve"> приема</w:t>
      </w:r>
      <w:r w:rsidRPr="0014478F">
        <w:t xml:space="preserve">. </w:t>
      </w:r>
    </w:p>
    <w:p w:rsidR="00AE2651" w:rsidRDefault="00AE2651" w:rsidP="00AE2651"/>
    <w:p w:rsidR="00AE2651" w:rsidRPr="00612097" w:rsidRDefault="00AE2651" w:rsidP="00AE2651">
      <w:pPr>
        <w:suppressAutoHyphens/>
        <w:spacing w:line="240" w:lineRule="atLeast"/>
        <w:jc w:val="both"/>
        <w:rPr>
          <w:b/>
        </w:rPr>
      </w:pPr>
      <w:r w:rsidRPr="00136917">
        <w:rPr>
          <w:b/>
        </w:rPr>
        <w:t>3. Способ поставки:</w:t>
      </w:r>
    </w:p>
    <w:p w:rsidR="00AE2651" w:rsidRDefault="00AE2651" w:rsidP="00AE2651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AE2651" w:rsidRDefault="00AE2651" w:rsidP="00AE2651">
      <w:pPr>
        <w:suppressAutoHyphens/>
        <w:spacing w:line="240" w:lineRule="atLeast"/>
        <w:jc w:val="both"/>
      </w:pPr>
      <w:r>
        <w:t>- по месту нахождения пунктов приема, организованных Поставщиком, в день обращения Получателя,</w:t>
      </w:r>
    </w:p>
    <w:p w:rsidR="00AE2651" w:rsidRDefault="00AE2651" w:rsidP="00AE2651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AE2651" w:rsidRPr="0014478F" w:rsidRDefault="00AE2651" w:rsidP="00AE2651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AE2651" w:rsidRDefault="00AE2651" w:rsidP="00AE2651">
      <w:pPr>
        <w:suppressAutoHyphens/>
        <w:spacing w:line="240" w:lineRule="atLeast"/>
        <w:jc w:val="both"/>
      </w:pPr>
      <w:r>
        <w:t>3.2.1</w:t>
      </w:r>
      <w:r w:rsidRPr="0014478F">
        <w:t xml:space="preserve">. </w:t>
      </w:r>
      <w:r>
        <w:t xml:space="preserve"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AE2651" w:rsidRDefault="00AE2651" w:rsidP="00AE2651">
      <w:pPr>
        <w:jc w:val="both"/>
      </w:pPr>
      <w:r w:rsidRPr="00C54675">
        <w:t xml:space="preserve">Количество пунктов – не менее 7 (семи) расположенных на территории разных районов Санкт-Петербурга. </w:t>
      </w:r>
      <w:r w:rsidRPr="0014478F">
        <w:t xml:space="preserve">Максимальное время ожидания Получателей </w:t>
      </w:r>
      <w:r>
        <w:t>в очереди не должно превышать 15</w:t>
      </w:r>
      <w:r w:rsidRPr="0014478F">
        <w:t xml:space="preserve"> минут.</w:t>
      </w:r>
    </w:p>
    <w:p w:rsidR="00AE2651" w:rsidRPr="0014478F" w:rsidRDefault="00AE2651" w:rsidP="00AE2651">
      <w:pPr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AE2651" w:rsidRPr="0014478F" w:rsidRDefault="00AE2651" w:rsidP="00AE2651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иными приспособлениями </w:t>
      </w:r>
      <w:r w:rsidRPr="0014478F">
        <w:t>для облегчения передвижения инвалидов</w:t>
      </w:r>
      <w:r>
        <w:t>)</w:t>
      </w:r>
      <w:r w:rsidRPr="0014478F">
        <w:t>. Пункты приема должны иметь туалетные комнаты, оборудованные для посещения инвалидами, со свободным</w:t>
      </w:r>
      <w:r>
        <w:t xml:space="preserve"> </w:t>
      </w:r>
      <w:r w:rsidRPr="00136917">
        <w:t>и бесплатным</w:t>
      </w:r>
      <w:r w:rsidRPr="0014478F">
        <w:t xml:space="preserve"> доступом Получателей.</w:t>
      </w:r>
    </w:p>
    <w:p w:rsidR="00AE2651" w:rsidRPr="0014478F" w:rsidRDefault="00AE2651" w:rsidP="00AE2651">
      <w:pPr>
        <w:jc w:val="both"/>
      </w:pPr>
      <w:r>
        <w:lastRenderedPageBreak/>
        <w:t>3.2.3. В случае выбора Получателем способа получения Изделия по месту нахождения пунктов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AE2651" w:rsidRDefault="00AE2651" w:rsidP="00AE2651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AE2651" w:rsidRPr="0014478F" w:rsidRDefault="00AE2651" w:rsidP="00AE2651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</w:t>
      </w:r>
      <w:r>
        <w:t xml:space="preserve">ок, согласованный с Получателем, </w:t>
      </w:r>
      <w:r w:rsidRPr="00136917">
        <w:t xml:space="preserve">но </w:t>
      </w:r>
      <w:r w:rsidRPr="009A1ABC">
        <w:t>не более 5</w:t>
      </w:r>
      <w:r w:rsidRPr="00136917">
        <w:t xml:space="preserve"> </w:t>
      </w:r>
      <w:r>
        <w:t xml:space="preserve">рабочих </w:t>
      </w:r>
      <w:r w:rsidRPr="00136917">
        <w:t>дней с даты обращения Получателя</w:t>
      </w:r>
      <w:r>
        <w:t>.</w:t>
      </w:r>
    </w:p>
    <w:p w:rsidR="00AE2651" w:rsidRDefault="00AE2651" w:rsidP="00AE2651">
      <w:pPr>
        <w:jc w:val="both"/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 w:rsidRPr="00475C8C">
        <w:t>.</w:t>
      </w:r>
    </w:p>
    <w:p w:rsidR="00AE2651" w:rsidRDefault="00AE2651" w:rsidP="00AE2651">
      <w:pPr>
        <w:jc w:val="both"/>
      </w:pPr>
    </w:p>
    <w:p w:rsidR="00AE2651" w:rsidRDefault="00AE2651" w:rsidP="00AE2651">
      <w:pPr>
        <w:jc w:val="both"/>
      </w:pPr>
      <w:r>
        <w:t xml:space="preserve">4. Заказчик вправе произвести выборочную проверку Изделий </w:t>
      </w:r>
      <w:r w:rsidRPr="00136917">
        <w:t>и соответствия пунктов приема требованиям государственного контракта</w:t>
      </w:r>
      <w:r>
        <w:t xml:space="preserve"> начиная со дня, следующего за днем заключения контракта.</w:t>
      </w:r>
    </w:p>
    <w:p w:rsidR="00AE2651" w:rsidRDefault="00AE2651" w:rsidP="00AE2651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AE2651" w:rsidRDefault="00AE2651" w:rsidP="00AE2651">
      <w:pPr>
        <w:tabs>
          <w:tab w:val="left" w:pos="9724"/>
        </w:tabs>
        <w:ind w:right="10"/>
        <w:jc w:val="both"/>
        <w:rPr>
          <w:spacing w:val="-4"/>
        </w:rPr>
      </w:pPr>
      <w:r>
        <w:rPr>
          <w:spacing w:val="-4"/>
        </w:rPr>
        <w:t xml:space="preserve">Обеспечить наличие Изделий в пунктах приема для выбора Получателей следующим образом: на день, следующий за днем заключения государственного контракта, в </w:t>
      </w:r>
      <w:r>
        <w:t xml:space="preserve">пунктах </w:t>
      </w:r>
      <w:r>
        <w:rPr>
          <w:spacing w:val="-4"/>
        </w:rPr>
        <w:t>приема в совокупности должно находиться не менее чем 1/2 часть от общего количества Изделий, предусмотренных в государственном контракте, по наименованиям и типам Изделий в процентном соотношении. При этом типы Изделий должны быть в равном процентном соотношении друг к другу в пределах каждого наименования.</w:t>
      </w:r>
    </w:p>
    <w:p w:rsidR="00AE2651" w:rsidRDefault="00AE2651" w:rsidP="00AE2651">
      <w:pPr>
        <w:jc w:val="both"/>
        <w:rPr>
          <w:spacing w:val="-4"/>
        </w:rPr>
      </w:pPr>
      <w:r>
        <w:rPr>
          <w:spacing w:val="-4"/>
        </w:rPr>
        <w:t>Если в ходе исполнения государственного контракта, оставшиеся к поставке Изделия, составляют, менее 1/2 части от общего количества Изделий, предусмотренных в государственном контракте, по наименованиям и типам Изделий в процентном отношении, то в пунктах приема должны находиться все оставшиеся к поставке Изделия.</w:t>
      </w:r>
    </w:p>
    <w:p w:rsidR="00AE2651" w:rsidRDefault="00AE2651" w:rsidP="00AE2651">
      <w:pPr>
        <w:tabs>
          <w:tab w:val="left" w:pos="9724"/>
        </w:tabs>
        <w:ind w:right="10"/>
        <w:jc w:val="both"/>
      </w:pPr>
      <w:r>
        <w:t xml:space="preserve">При этом в рамках исполнения государственного контракта в </w:t>
      </w:r>
      <w:r>
        <w:rPr>
          <w:spacing w:val="-4"/>
        </w:rPr>
        <w:t xml:space="preserve">пунктах </w:t>
      </w:r>
      <w:r>
        <w:t>приема ежедневно должны находиться Изделия всех наименований и типов до полной выдачи Изделий каждого наименования.</w:t>
      </w: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D252A3" w:rsidRDefault="00D252A3"/>
    <w:sectPr w:rsidR="00D252A3" w:rsidSect="00AE2651">
      <w:pgSz w:w="11906" w:h="16838"/>
      <w:pgMar w:top="851" w:right="62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02" w:rsidRDefault="00126E02" w:rsidP="00AE2651">
      <w:r>
        <w:separator/>
      </w:r>
    </w:p>
  </w:endnote>
  <w:endnote w:type="continuationSeparator" w:id="0">
    <w:p w:rsidR="00126E02" w:rsidRDefault="00126E02" w:rsidP="00AE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02" w:rsidRDefault="00126E02" w:rsidP="00AE2651">
      <w:r>
        <w:separator/>
      </w:r>
    </w:p>
  </w:footnote>
  <w:footnote w:type="continuationSeparator" w:id="0">
    <w:p w:rsidR="00126E02" w:rsidRDefault="00126E02" w:rsidP="00AE2651">
      <w:r>
        <w:continuationSeparator/>
      </w:r>
    </w:p>
  </w:footnote>
  <w:footnote w:id="1">
    <w:p w:rsidR="006A351E" w:rsidRPr="004D2FEC" w:rsidRDefault="006A351E" w:rsidP="00AE265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6A351E" w:rsidRDefault="006A351E" w:rsidP="00AE265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535E"/>
    <w:multiLevelType w:val="hybridMultilevel"/>
    <w:tmpl w:val="547A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1"/>
    <w:rsid w:val="00015788"/>
    <w:rsid w:val="00070C22"/>
    <w:rsid w:val="00126E02"/>
    <w:rsid w:val="002415F6"/>
    <w:rsid w:val="00336415"/>
    <w:rsid w:val="0035310F"/>
    <w:rsid w:val="003B0E57"/>
    <w:rsid w:val="00507765"/>
    <w:rsid w:val="00624A3A"/>
    <w:rsid w:val="006A351E"/>
    <w:rsid w:val="006D4253"/>
    <w:rsid w:val="00863AF5"/>
    <w:rsid w:val="0088027E"/>
    <w:rsid w:val="008E2251"/>
    <w:rsid w:val="00925016"/>
    <w:rsid w:val="00985ED6"/>
    <w:rsid w:val="009D4C3E"/>
    <w:rsid w:val="00A05084"/>
    <w:rsid w:val="00A84E35"/>
    <w:rsid w:val="00A9658A"/>
    <w:rsid w:val="00AB2E63"/>
    <w:rsid w:val="00AC6E5C"/>
    <w:rsid w:val="00AE2651"/>
    <w:rsid w:val="00B12461"/>
    <w:rsid w:val="00B62845"/>
    <w:rsid w:val="00B87A01"/>
    <w:rsid w:val="00C87483"/>
    <w:rsid w:val="00CF0B73"/>
    <w:rsid w:val="00D15606"/>
    <w:rsid w:val="00D17582"/>
    <w:rsid w:val="00D252A3"/>
    <w:rsid w:val="00D7503A"/>
    <w:rsid w:val="00D75EE4"/>
    <w:rsid w:val="00F32C0D"/>
    <w:rsid w:val="00F84B46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A5A9-1BA8-4B27-A058-1E2431C5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E265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2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E2651"/>
    <w:rPr>
      <w:vertAlign w:val="superscript"/>
    </w:rPr>
  </w:style>
  <w:style w:type="character" w:customStyle="1" w:styleId="a6">
    <w:name w:val="Основной шрифт"/>
    <w:rsid w:val="00AE2651"/>
  </w:style>
  <w:style w:type="paragraph" w:customStyle="1" w:styleId="Standard">
    <w:name w:val="Standard"/>
    <w:rsid w:val="00AE265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7">
    <w:name w:val="Знак"/>
    <w:basedOn w:val="a"/>
    <w:rsid w:val="00B62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0B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B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0375-7CBF-4E1D-A663-F59CB236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7</cp:revision>
  <cp:lastPrinted>2018-05-29T08:07:00Z</cp:lastPrinted>
  <dcterms:created xsi:type="dcterms:W3CDTF">2018-05-23T08:12:00Z</dcterms:created>
  <dcterms:modified xsi:type="dcterms:W3CDTF">2018-05-29T08:08:00Z</dcterms:modified>
</cp:coreProperties>
</file>