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4"/>
        <w:gridCol w:w="1905"/>
        <w:gridCol w:w="6317"/>
        <w:gridCol w:w="789"/>
      </w:tblGrid>
      <w:tr w:rsidR="00D70F27" w:rsidRPr="009B4BA9" w:rsidTr="00CD71D5">
        <w:trPr>
          <w:trHeight w:val="608"/>
        </w:trPr>
        <w:tc>
          <w:tcPr>
            <w:tcW w:w="784"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ind w:hanging="75"/>
              <w:jc w:val="center"/>
              <w:rPr>
                <w:sz w:val="22"/>
                <w:szCs w:val="22"/>
              </w:rPr>
            </w:pPr>
            <w:r w:rsidRPr="009B4BA9">
              <w:rPr>
                <w:sz w:val="22"/>
                <w:szCs w:val="22"/>
              </w:rPr>
              <w:t>№ п/п</w:t>
            </w:r>
          </w:p>
        </w:tc>
        <w:tc>
          <w:tcPr>
            <w:tcW w:w="1905"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ind w:hanging="75"/>
              <w:jc w:val="center"/>
              <w:rPr>
                <w:sz w:val="22"/>
                <w:szCs w:val="22"/>
              </w:rPr>
            </w:pPr>
            <w:r w:rsidRPr="009B4BA9">
              <w:rPr>
                <w:sz w:val="22"/>
                <w:szCs w:val="22"/>
              </w:rPr>
              <w:t>Наименование объекта закупки</w:t>
            </w:r>
          </w:p>
        </w:tc>
        <w:tc>
          <w:tcPr>
            <w:tcW w:w="6317"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jc w:val="center"/>
              <w:rPr>
                <w:sz w:val="22"/>
                <w:szCs w:val="22"/>
              </w:rPr>
            </w:pPr>
            <w:r w:rsidRPr="009B4BA9">
              <w:rPr>
                <w:sz w:val="22"/>
                <w:szCs w:val="22"/>
              </w:rPr>
              <w:t>Описание объекта закупки, включая перечень сведений для определения идентичности или однородности товара</w:t>
            </w:r>
          </w:p>
        </w:tc>
        <w:tc>
          <w:tcPr>
            <w:tcW w:w="789"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jc w:val="center"/>
              <w:rPr>
                <w:sz w:val="22"/>
                <w:szCs w:val="22"/>
              </w:rPr>
            </w:pPr>
            <w:r w:rsidRPr="009B4BA9">
              <w:rPr>
                <w:sz w:val="22"/>
                <w:szCs w:val="22"/>
              </w:rPr>
              <w:t>Кол-во,</w:t>
            </w:r>
          </w:p>
          <w:p w:rsidR="00D70F27" w:rsidRPr="009B4BA9" w:rsidRDefault="00D70F27" w:rsidP="00CD71D5">
            <w:pPr>
              <w:widowControl w:val="0"/>
              <w:suppressAutoHyphens w:val="0"/>
              <w:snapToGrid w:val="0"/>
              <w:spacing w:line="100" w:lineRule="atLeast"/>
              <w:jc w:val="center"/>
              <w:rPr>
                <w:sz w:val="22"/>
                <w:szCs w:val="22"/>
              </w:rPr>
            </w:pPr>
            <w:r w:rsidRPr="009B4BA9">
              <w:rPr>
                <w:sz w:val="22"/>
                <w:szCs w:val="22"/>
              </w:rPr>
              <w:t>(шт.)</w:t>
            </w:r>
          </w:p>
        </w:tc>
      </w:tr>
      <w:tr w:rsidR="00D70F27" w:rsidRPr="009B4BA9" w:rsidTr="00CD71D5">
        <w:trPr>
          <w:trHeight w:val="269"/>
        </w:trPr>
        <w:tc>
          <w:tcPr>
            <w:tcW w:w="784"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rPr>
                <w:sz w:val="22"/>
                <w:szCs w:val="22"/>
              </w:rPr>
            </w:pPr>
            <w:r w:rsidRPr="009B4BA9">
              <w:rPr>
                <w:sz w:val="22"/>
                <w:szCs w:val="22"/>
              </w:rPr>
              <w:t xml:space="preserve">   </w:t>
            </w:r>
            <w:r>
              <w:rPr>
                <w:sz w:val="22"/>
                <w:szCs w:val="22"/>
              </w:rPr>
              <w:t>1</w:t>
            </w:r>
          </w:p>
        </w:tc>
        <w:tc>
          <w:tcPr>
            <w:tcW w:w="1905"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jc w:val="center"/>
              <w:rPr>
                <w:sz w:val="22"/>
                <w:szCs w:val="22"/>
              </w:rPr>
            </w:pPr>
            <w:r w:rsidRPr="009B4BA9">
              <w:rPr>
                <w:sz w:val="22"/>
                <w:szCs w:val="22"/>
              </w:rPr>
              <w:t>Аппарат на нижние конечности и туловище</w:t>
            </w:r>
          </w:p>
          <w:p w:rsidR="00D70F27" w:rsidRPr="009B4BA9" w:rsidRDefault="00D70F27" w:rsidP="00CD71D5">
            <w:pPr>
              <w:rPr>
                <w:sz w:val="22"/>
                <w:szCs w:val="22"/>
              </w:rPr>
            </w:pPr>
          </w:p>
        </w:tc>
        <w:tc>
          <w:tcPr>
            <w:tcW w:w="6317"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pStyle w:val="caaieiaie11"/>
              <w:keepNext w:val="0"/>
              <w:tabs>
                <w:tab w:val="left" w:pos="270"/>
                <w:tab w:val="center" w:pos="1682"/>
              </w:tabs>
              <w:overflowPunct/>
              <w:autoSpaceDE/>
              <w:ind w:firstLine="350"/>
              <w:jc w:val="both"/>
              <w:rPr>
                <w:sz w:val="22"/>
                <w:szCs w:val="22"/>
              </w:rPr>
            </w:pPr>
            <w:r w:rsidRPr="009B4BA9">
              <w:rPr>
                <w:sz w:val="22"/>
                <w:szCs w:val="22"/>
              </w:rPr>
              <w:t xml:space="preserve"> Аппарат на нижние конечности и туловище представляет собой </w:t>
            </w:r>
            <w:proofErr w:type="spellStart"/>
            <w:r w:rsidRPr="009B4BA9">
              <w:rPr>
                <w:sz w:val="22"/>
                <w:szCs w:val="22"/>
              </w:rPr>
              <w:t>ортезную</w:t>
            </w:r>
            <w:proofErr w:type="spellEnd"/>
            <w:r w:rsidRPr="009B4BA9">
              <w:rPr>
                <w:sz w:val="22"/>
                <w:szCs w:val="22"/>
              </w:rPr>
              <w:t xml:space="preserve"> систему, предназначенную для активной реабилитации и передвижения (самостоятельного хождения) больных, страдающих параличом нижних конечностей и туловища. </w:t>
            </w:r>
            <w:proofErr w:type="spellStart"/>
            <w:r w:rsidRPr="009B4BA9">
              <w:rPr>
                <w:sz w:val="22"/>
                <w:szCs w:val="22"/>
              </w:rPr>
              <w:t>Ортезная</w:t>
            </w:r>
            <w:proofErr w:type="spellEnd"/>
            <w:r w:rsidRPr="009B4BA9">
              <w:rPr>
                <w:sz w:val="22"/>
                <w:szCs w:val="22"/>
              </w:rPr>
              <w:t xml:space="preserve"> система должна обеспечивать принятие положения сидя и стоя без дополнительной помощи других вспомогательных средств. Движущей силой должно являться изменение расположения центра тяжести устройства и находящегося в нем инвалида.</w:t>
            </w:r>
          </w:p>
          <w:p w:rsidR="00D70F27" w:rsidRPr="009B4BA9" w:rsidRDefault="00D70F27" w:rsidP="00CD71D5">
            <w:pPr>
              <w:ind w:firstLine="350"/>
              <w:jc w:val="both"/>
              <w:rPr>
                <w:sz w:val="22"/>
                <w:szCs w:val="22"/>
              </w:rPr>
            </w:pPr>
            <w:r w:rsidRPr="009B4BA9">
              <w:rPr>
                <w:sz w:val="22"/>
                <w:szCs w:val="22"/>
              </w:rPr>
              <w:t>В комплект поставки должны входить: замок ремня безопасности, замок жилета, кронштейн в области грудной клетки, боковые подпорки в области плеч, жилет, ремень безопасности, верхний шарнир, держатели для рук, боковые кронштейны, наколенник, стабилизирующий прут сзади, полозья с платформами, нижний шарнир, кронштейны для подстраховки, эксплуатационная документация на русском языке.</w:t>
            </w:r>
          </w:p>
          <w:p w:rsidR="00D70F27" w:rsidRPr="009B4BA9" w:rsidRDefault="00D70F27" w:rsidP="00CD71D5">
            <w:pPr>
              <w:pStyle w:val="ab"/>
              <w:snapToGrid w:val="0"/>
              <w:spacing w:before="0" w:after="0"/>
              <w:jc w:val="both"/>
              <w:rPr>
                <w:sz w:val="22"/>
                <w:szCs w:val="22"/>
              </w:rPr>
            </w:pPr>
            <w:r w:rsidRPr="009B4BA9">
              <w:rPr>
                <w:sz w:val="22"/>
                <w:szCs w:val="22"/>
              </w:rPr>
              <w:t xml:space="preserve">Аппарат на нижние конечности и туловище </w:t>
            </w:r>
            <w:proofErr w:type="gramStart"/>
            <w:r w:rsidRPr="009B4BA9">
              <w:rPr>
                <w:sz w:val="22"/>
                <w:szCs w:val="22"/>
              </w:rPr>
              <w:t>должен  соответствовать</w:t>
            </w:r>
            <w:proofErr w:type="gramEnd"/>
            <w:r w:rsidRPr="009B4BA9">
              <w:rPr>
                <w:sz w:val="22"/>
                <w:szCs w:val="22"/>
              </w:rPr>
              <w:t xml:space="preserve"> техническим характеристикам и анатомическим особенностям получателя:</w:t>
            </w:r>
          </w:p>
          <w:p w:rsidR="00D70F27" w:rsidRPr="009B4BA9" w:rsidRDefault="00D70F27" w:rsidP="00CD71D5">
            <w:pPr>
              <w:rPr>
                <w:sz w:val="22"/>
                <w:szCs w:val="22"/>
              </w:rPr>
            </w:pPr>
            <w:r>
              <w:rPr>
                <w:sz w:val="22"/>
                <w:szCs w:val="22"/>
              </w:rPr>
              <w:t>- рост инвалида: от</w:t>
            </w:r>
            <w:r w:rsidRPr="009B4BA9">
              <w:rPr>
                <w:sz w:val="22"/>
                <w:szCs w:val="22"/>
              </w:rPr>
              <w:t xml:space="preserve"> 155 см до 185 см;</w:t>
            </w:r>
          </w:p>
          <w:p w:rsidR="00D70F27" w:rsidRPr="009B4BA9" w:rsidRDefault="00D70F27" w:rsidP="00CD71D5">
            <w:pPr>
              <w:shd w:val="clear" w:color="auto" w:fill="FFFFFF"/>
              <w:ind w:right="183"/>
              <w:jc w:val="both"/>
              <w:rPr>
                <w:sz w:val="22"/>
                <w:szCs w:val="22"/>
              </w:rPr>
            </w:pPr>
            <w:r w:rsidRPr="009B4BA9">
              <w:rPr>
                <w:sz w:val="22"/>
                <w:szCs w:val="22"/>
              </w:rPr>
              <w:t>-  ширина бедер: от 37 см. до 61,5 см;</w:t>
            </w:r>
          </w:p>
          <w:p w:rsidR="00D70F27" w:rsidRPr="009B4BA9" w:rsidRDefault="00D70F27" w:rsidP="00CD71D5">
            <w:pPr>
              <w:shd w:val="clear" w:color="auto" w:fill="FFFFFF"/>
              <w:ind w:right="183"/>
              <w:jc w:val="both"/>
              <w:rPr>
                <w:sz w:val="22"/>
                <w:szCs w:val="22"/>
              </w:rPr>
            </w:pPr>
            <w:r w:rsidRPr="009B4BA9">
              <w:rPr>
                <w:sz w:val="22"/>
                <w:szCs w:val="22"/>
              </w:rPr>
              <w:t>- глубина бедер: от 26 см. до 38 см.</w:t>
            </w:r>
          </w:p>
          <w:p w:rsidR="00D70F27" w:rsidRPr="009B4BA9" w:rsidRDefault="00D70F27" w:rsidP="00CD71D5">
            <w:pPr>
              <w:shd w:val="clear" w:color="auto" w:fill="FFFFFF"/>
              <w:ind w:right="183"/>
              <w:jc w:val="both"/>
              <w:rPr>
                <w:sz w:val="22"/>
                <w:szCs w:val="22"/>
              </w:rPr>
            </w:pPr>
            <w:r w:rsidRPr="009B4BA9">
              <w:rPr>
                <w:sz w:val="22"/>
                <w:szCs w:val="22"/>
              </w:rPr>
              <w:t>- максимальный вес инвалида: не менее 90 кг;</w:t>
            </w:r>
          </w:p>
          <w:p w:rsidR="00D70F27" w:rsidRPr="009B4BA9" w:rsidRDefault="00D70F27" w:rsidP="00CD71D5">
            <w:pPr>
              <w:pStyle w:val="ab"/>
              <w:snapToGrid w:val="0"/>
              <w:spacing w:before="0" w:after="0"/>
              <w:jc w:val="both"/>
              <w:rPr>
                <w:sz w:val="22"/>
                <w:szCs w:val="22"/>
              </w:rPr>
            </w:pPr>
            <w:r w:rsidRPr="009B4BA9">
              <w:rPr>
                <w:sz w:val="22"/>
                <w:szCs w:val="22"/>
              </w:rPr>
              <w:t xml:space="preserve">- вес </w:t>
            </w:r>
            <w:proofErr w:type="gramStart"/>
            <w:r w:rsidRPr="009B4BA9">
              <w:rPr>
                <w:sz w:val="22"/>
                <w:szCs w:val="22"/>
              </w:rPr>
              <w:t>изделия  не</w:t>
            </w:r>
            <w:proofErr w:type="gramEnd"/>
            <w:r w:rsidRPr="009B4BA9">
              <w:rPr>
                <w:sz w:val="22"/>
                <w:szCs w:val="22"/>
              </w:rPr>
              <w:t xml:space="preserve"> более 28,5 кг. </w:t>
            </w:r>
          </w:p>
          <w:p w:rsidR="00D70F27" w:rsidRPr="009B4BA9" w:rsidRDefault="00D70F27" w:rsidP="00CD71D5">
            <w:pPr>
              <w:autoSpaceDE w:val="0"/>
              <w:autoSpaceDN w:val="0"/>
              <w:adjustRightInd w:val="0"/>
              <w:ind w:firstLine="350"/>
              <w:jc w:val="both"/>
              <w:rPr>
                <w:sz w:val="22"/>
                <w:szCs w:val="22"/>
              </w:rPr>
            </w:pPr>
            <w:r w:rsidRPr="009B4BA9">
              <w:rPr>
                <w:sz w:val="22"/>
                <w:szCs w:val="22"/>
              </w:rPr>
              <w:t xml:space="preserve">Материалы, из которых изготавливается </w:t>
            </w:r>
            <w:proofErr w:type="spellStart"/>
            <w:r w:rsidRPr="009B4BA9">
              <w:rPr>
                <w:sz w:val="22"/>
                <w:szCs w:val="22"/>
              </w:rPr>
              <w:t>ортезная</w:t>
            </w:r>
            <w:proofErr w:type="spellEnd"/>
            <w:r w:rsidRPr="009B4BA9">
              <w:rPr>
                <w:sz w:val="22"/>
                <w:szCs w:val="22"/>
              </w:rPr>
              <w:t xml:space="preserve"> система, не должны содержать ядовитых (токсичных) компонентов, а также воздействовать на цвет поверхности (пола, одежды, кожи пользователя), с которым контактируют детали </w:t>
            </w:r>
            <w:proofErr w:type="spellStart"/>
            <w:r w:rsidRPr="009B4BA9">
              <w:rPr>
                <w:sz w:val="22"/>
                <w:szCs w:val="22"/>
              </w:rPr>
              <w:t>ортезной</w:t>
            </w:r>
            <w:proofErr w:type="spellEnd"/>
            <w:r w:rsidRPr="009B4BA9">
              <w:rPr>
                <w:sz w:val="22"/>
                <w:szCs w:val="22"/>
              </w:rPr>
              <w:t xml:space="preserve"> системы при их нормальной эксплуатации; они должны быть разрешены к применению Минздравом России.</w:t>
            </w:r>
          </w:p>
          <w:p w:rsidR="00D70F27" w:rsidRPr="009B4BA9" w:rsidRDefault="00D70F27" w:rsidP="00CD71D5">
            <w:pPr>
              <w:ind w:firstLine="350"/>
              <w:jc w:val="both"/>
              <w:rPr>
                <w:sz w:val="22"/>
                <w:szCs w:val="22"/>
              </w:rPr>
            </w:pPr>
            <w:r w:rsidRPr="009B4BA9">
              <w:rPr>
                <w:sz w:val="22"/>
                <w:szCs w:val="22"/>
              </w:rPr>
              <w:t>Срок предоставления гарантии качества Изделия должен составлять не менее 12 (Двенадцать) месяцев со дня поставки Получателю.</w:t>
            </w:r>
          </w:p>
          <w:p w:rsidR="00D70F27" w:rsidRPr="009B4BA9" w:rsidRDefault="00D70F27" w:rsidP="00CD71D5">
            <w:pPr>
              <w:ind w:firstLine="350"/>
              <w:jc w:val="both"/>
              <w:rPr>
                <w:sz w:val="22"/>
                <w:szCs w:val="22"/>
              </w:rPr>
            </w:pPr>
            <w:r w:rsidRPr="009B4BA9">
              <w:rPr>
                <w:sz w:val="22"/>
                <w:szCs w:val="22"/>
              </w:rPr>
              <w:t>В течение гарантийного срока в случае обнаружения Получателем недостатка в изделии, Поставщиком либо уполномоченной производителем организацией (индивидуальным предпринимателем) должны быть обеспечены замена изделия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(Двадцати) рабочих дней.</w:t>
            </w:r>
          </w:p>
          <w:p w:rsidR="00D70F27" w:rsidRPr="009B4BA9" w:rsidRDefault="00D70F27" w:rsidP="00CD71D5">
            <w:pPr>
              <w:ind w:firstLine="350"/>
              <w:jc w:val="both"/>
              <w:rPr>
                <w:sz w:val="22"/>
                <w:szCs w:val="22"/>
              </w:rPr>
            </w:pPr>
            <w:r w:rsidRPr="009B4BA9">
              <w:rPr>
                <w:sz w:val="22"/>
                <w:szCs w:val="22"/>
              </w:rPr>
              <w:tab/>
              <w:t xml:space="preserve">В целях обеспечения возможности использования </w:t>
            </w:r>
            <w:proofErr w:type="spellStart"/>
            <w:r w:rsidRPr="009B4BA9">
              <w:rPr>
                <w:sz w:val="22"/>
                <w:szCs w:val="22"/>
              </w:rPr>
              <w:t>ортезной</w:t>
            </w:r>
            <w:proofErr w:type="spellEnd"/>
            <w:r w:rsidRPr="009B4BA9">
              <w:rPr>
                <w:sz w:val="22"/>
                <w:szCs w:val="22"/>
              </w:rPr>
              <w:t xml:space="preserve"> системы в течение его срока службы должны осуществляться ремонт и техническое обслуживание изделия. </w:t>
            </w:r>
          </w:p>
          <w:p w:rsidR="00D70F27" w:rsidRPr="009B4BA9" w:rsidRDefault="00D70F27" w:rsidP="00CD71D5">
            <w:pPr>
              <w:shd w:val="clear" w:color="auto" w:fill="FFFFFF"/>
              <w:ind w:firstLine="350"/>
              <w:jc w:val="both"/>
              <w:rPr>
                <w:sz w:val="22"/>
                <w:szCs w:val="22"/>
              </w:rPr>
            </w:pPr>
            <w:r w:rsidRPr="009B4BA9">
              <w:rPr>
                <w:sz w:val="22"/>
                <w:szCs w:val="22"/>
              </w:rPr>
              <w:t>Поставка аппаратов на нижние конечности и туловище должна быть осуществлена по заявкам заказчика с учетом антропометрических данных инвалида.</w:t>
            </w:r>
          </w:p>
        </w:tc>
        <w:tc>
          <w:tcPr>
            <w:tcW w:w="789"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jc w:val="center"/>
              <w:rPr>
                <w:sz w:val="22"/>
                <w:szCs w:val="22"/>
              </w:rPr>
            </w:pPr>
            <w:r>
              <w:rPr>
                <w:sz w:val="22"/>
                <w:szCs w:val="22"/>
              </w:rPr>
              <w:t>14</w:t>
            </w:r>
          </w:p>
        </w:tc>
      </w:tr>
      <w:tr w:rsidR="00D70F27" w:rsidRPr="009B4BA9" w:rsidTr="00CD71D5">
        <w:trPr>
          <w:trHeight w:val="269"/>
        </w:trPr>
        <w:tc>
          <w:tcPr>
            <w:tcW w:w="784"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rPr>
                <w:sz w:val="22"/>
                <w:szCs w:val="22"/>
              </w:rPr>
            </w:pPr>
            <w:r w:rsidRPr="009B4BA9">
              <w:rPr>
                <w:sz w:val="22"/>
                <w:szCs w:val="22"/>
              </w:rPr>
              <w:t xml:space="preserve">   </w:t>
            </w:r>
            <w:r>
              <w:rPr>
                <w:sz w:val="22"/>
                <w:szCs w:val="22"/>
              </w:rPr>
              <w:t>2</w:t>
            </w:r>
          </w:p>
        </w:tc>
        <w:tc>
          <w:tcPr>
            <w:tcW w:w="1905"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jc w:val="center"/>
              <w:rPr>
                <w:sz w:val="22"/>
                <w:szCs w:val="22"/>
              </w:rPr>
            </w:pPr>
            <w:r w:rsidRPr="009B4BA9">
              <w:rPr>
                <w:sz w:val="22"/>
                <w:szCs w:val="22"/>
              </w:rPr>
              <w:t xml:space="preserve">Аппарат на нижние </w:t>
            </w:r>
            <w:r w:rsidRPr="009B4BA9">
              <w:rPr>
                <w:sz w:val="22"/>
                <w:szCs w:val="22"/>
              </w:rPr>
              <w:lastRenderedPageBreak/>
              <w:t>конечности и туловище</w:t>
            </w:r>
          </w:p>
          <w:p w:rsidR="00D70F27" w:rsidRPr="009B4BA9" w:rsidRDefault="00D70F27" w:rsidP="00CD71D5">
            <w:pPr>
              <w:rPr>
                <w:sz w:val="22"/>
                <w:szCs w:val="22"/>
              </w:rPr>
            </w:pPr>
          </w:p>
        </w:tc>
        <w:tc>
          <w:tcPr>
            <w:tcW w:w="6317"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pStyle w:val="caaieiaie11"/>
              <w:keepNext w:val="0"/>
              <w:tabs>
                <w:tab w:val="left" w:pos="270"/>
                <w:tab w:val="center" w:pos="1682"/>
              </w:tabs>
              <w:overflowPunct/>
              <w:autoSpaceDE/>
              <w:ind w:firstLine="350"/>
              <w:jc w:val="both"/>
              <w:rPr>
                <w:sz w:val="22"/>
                <w:szCs w:val="22"/>
              </w:rPr>
            </w:pPr>
            <w:r w:rsidRPr="009B4BA9">
              <w:rPr>
                <w:sz w:val="22"/>
                <w:szCs w:val="22"/>
              </w:rPr>
              <w:lastRenderedPageBreak/>
              <w:t xml:space="preserve">Аппарат на нижние конечности и туловище представляет собой </w:t>
            </w:r>
            <w:proofErr w:type="spellStart"/>
            <w:r w:rsidRPr="009B4BA9">
              <w:rPr>
                <w:sz w:val="22"/>
                <w:szCs w:val="22"/>
              </w:rPr>
              <w:t>ортезную</w:t>
            </w:r>
            <w:proofErr w:type="spellEnd"/>
            <w:r w:rsidRPr="009B4BA9">
              <w:rPr>
                <w:sz w:val="22"/>
                <w:szCs w:val="22"/>
              </w:rPr>
              <w:t xml:space="preserve"> систему, предназначенную для активной реабилитации и передвижения (самостоятельного хождения) </w:t>
            </w:r>
            <w:r w:rsidRPr="009B4BA9">
              <w:rPr>
                <w:sz w:val="22"/>
                <w:szCs w:val="22"/>
              </w:rPr>
              <w:lastRenderedPageBreak/>
              <w:t xml:space="preserve">больных, страдающих параличом нижних конечностей и туловища. </w:t>
            </w:r>
            <w:proofErr w:type="spellStart"/>
            <w:r w:rsidRPr="009B4BA9">
              <w:rPr>
                <w:sz w:val="22"/>
                <w:szCs w:val="22"/>
              </w:rPr>
              <w:t>Ортезная</w:t>
            </w:r>
            <w:proofErr w:type="spellEnd"/>
            <w:r w:rsidRPr="009B4BA9">
              <w:rPr>
                <w:sz w:val="22"/>
                <w:szCs w:val="22"/>
              </w:rPr>
              <w:t xml:space="preserve"> система должна обеспечивать принятие положения сидя и стоя без дополнительной помощи других вспомогательных средств. Движущей силой должно являться изменение расположения центра тяжести устройства и находящегося в нем инвалида.</w:t>
            </w:r>
          </w:p>
          <w:p w:rsidR="00D70F27" w:rsidRPr="009B4BA9" w:rsidRDefault="00D70F27" w:rsidP="00CD71D5">
            <w:pPr>
              <w:ind w:firstLine="350"/>
              <w:jc w:val="both"/>
              <w:rPr>
                <w:sz w:val="22"/>
                <w:szCs w:val="22"/>
              </w:rPr>
            </w:pPr>
            <w:r w:rsidRPr="009B4BA9">
              <w:rPr>
                <w:sz w:val="22"/>
                <w:szCs w:val="22"/>
              </w:rPr>
              <w:t>В комплект поставки должны входить: замок ремня безопасности, замок жилета, кронштейн в области грудной клетки, боковые подпорки в области плеч, жилет, ремень безопасности, верхний шарнир, держатели для рук, боковые кронштейны, наколенник, стабилизирующий прут сзади, полозья с платформами, нижний шарнир, кронштейны для подстраховки, эксплуатационная документация на русском языке.</w:t>
            </w:r>
          </w:p>
          <w:p w:rsidR="00D70F27" w:rsidRPr="009B4BA9" w:rsidRDefault="00D70F27" w:rsidP="00CD71D5">
            <w:pPr>
              <w:pStyle w:val="ab"/>
              <w:snapToGrid w:val="0"/>
              <w:spacing w:before="0" w:after="0"/>
              <w:jc w:val="both"/>
              <w:rPr>
                <w:sz w:val="22"/>
                <w:szCs w:val="22"/>
              </w:rPr>
            </w:pPr>
            <w:r w:rsidRPr="009B4BA9">
              <w:rPr>
                <w:sz w:val="22"/>
                <w:szCs w:val="22"/>
              </w:rPr>
              <w:t xml:space="preserve">Аппарат на нижние конечности и туловище </w:t>
            </w:r>
            <w:proofErr w:type="gramStart"/>
            <w:r w:rsidRPr="009B4BA9">
              <w:rPr>
                <w:sz w:val="22"/>
                <w:szCs w:val="22"/>
              </w:rPr>
              <w:t>должен  соответствовать</w:t>
            </w:r>
            <w:proofErr w:type="gramEnd"/>
            <w:r w:rsidRPr="009B4BA9">
              <w:rPr>
                <w:sz w:val="22"/>
                <w:szCs w:val="22"/>
              </w:rPr>
              <w:t xml:space="preserve"> техническим характеристикам и анатомическим особенностям получателя:</w:t>
            </w:r>
          </w:p>
          <w:p w:rsidR="00D70F27" w:rsidRPr="009B4BA9" w:rsidRDefault="00D70F27" w:rsidP="00CD71D5">
            <w:pPr>
              <w:rPr>
                <w:sz w:val="22"/>
                <w:szCs w:val="22"/>
              </w:rPr>
            </w:pPr>
            <w:r w:rsidRPr="009B4BA9">
              <w:rPr>
                <w:sz w:val="22"/>
                <w:szCs w:val="22"/>
              </w:rPr>
              <w:t>- рост инвалида: от 125 см. до 155 см;</w:t>
            </w:r>
          </w:p>
          <w:p w:rsidR="00D70F27" w:rsidRPr="009B4BA9" w:rsidRDefault="00D70F27" w:rsidP="00CD71D5">
            <w:pPr>
              <w:shd w:val="clear" w:color="auto" w:fill="FFFFFF"/>
              <w:ind w:right="183"/>
              <w:jc w:val="both"/>
              <w:rPr>
                <w:sz w:val="22"/>
                <w:szCs w:val="22"/>
              </w:rPr>
            </w:pPr>
            <w:r w:rsidRPr="009B4BA9">
              <w:rPr>
                <w:sz w:val="22"/>
                <w:szCs w:val="22"/>
              </w:rPr>
              <w:t>- максимальный вес инвалида: не менее 70 кг;</w:t>
            </w:r>
          </w:p>
          <w:p w:rsidR="00D70F27" w:rsidRPr="009B4BA9" w:rsidRDefault="00D70F27" w:rsidP="00CD71D5">
            <w:pPr>
              <w:rPr>
                <w:sz w:val="22"/>
                <w:szCs w:val="22"/>
              </w:rPr>
            </w:pPr>
            <w:r w:rsidRPr="009B4BA9">
              <w:rPr>
                <w:sz w:val="22"/>
                <w:szCs w:val="22"/>
              </w:rPr>
              <w:t>- ширина бедер: от 29 см. до 43 см;</w:t>
            </w:r>
          </w:p>
          <w:p w:rsidR="00D70F27" w:rsidRPr="009B4BA9" w:rsidRDefault="00D70F27" w:rsidP="00CD71D5">
            <w:pPr>
              <w:rPr>
                <w:sz w:val="22"/>
                <w:szCs w:val="22"/>
              </w:rPr>
            </w:pPr>
            <w:r w:rsidRPr="009B4BA9">
              <w:rPr>
                <w:sz w:val="22"/>
                <w:szCs w:val="22"/>
              </w:rPr>
              <w:t>- глубина бедер: от 23 см. до 34 см;</w:t>
            </w:r>
          </w:p>
          <w:p w:rsidR="00D70F27" w:rsidRPr="009B4BA9" w:rsidRDefault="00D70F27" w:rsidP="00CD71D5">
            <w:pPr>
              <w:rPr>
                <w:sz w:val="22"/>
                <w:szCs w:val="22"/>
              </w:rPr>
            </w:pPr>
            <w:r w:rsidRPr="009B4BA9">
              <w:rPr>
                <w:sz w:val="22"/>
                <w:szCs w:val="22"/>
              </w:rPr>
              <w:t xml:space="preserve">- вес </w:t>
            </w:r>
            <w:proofErr w:type="gramStart"/>
            <w:r w:rsidRPr="009B4BA9">
              <w:rPr>
                <w:sz w:val="22"/>
                <w:szCs w:val="22"/>
              </w:rPr>
              <w:t>изделия  не</w:t>
            </w:r>
            <w:proofErr w:type="gramEnd"/>
            <w:r w:rsidRPr="009B4BA9">
              <w:rPr>
                <w:sz w:val="22"/>
                <w:szCs w:val="22"/>
              </w:rPr>
              <w:t xml:space="preserve"> более 26 кг.</w:t>
            </w:r>
          </w:p>
          <w:p w:rsidR="00D70F27" w:rsidRPr="009B4BA9" w:rsidRDefault="00D70F27" w:rsidP="00CD71D5">
            <w:pPr>
              <w:autoSpaceDE w:val="0"/>
              <w:autoSpaceDN w:val="0"/>
              <w:adjustRightInd w:val="0"/>
              <w:ind w:firstLine="492"/>
              <w:jc w:val="both"/>
              <w:rPr>
                <w:sz w:val="22"/>
                <w:szCs w:val="22"/>
              </w:rPr>
            </w:pPr>
            <w:r w:rsidRPr="009B4BA9">
              <w:rPr>
                <w:sz w:val="22"/>
                <w:szCs w:val="22"/>
              </w:rPr>
              <w:t xml:space="preserve">Материалы, из которых изготавливается </w:t>
            </w:r>
            <w:proofErr w:type="spellStart"/>
            <w:r w:rsidRPr="009B4BA9">
              <w:rPr>
                <w:sz w:val="22"/>
                <w:szCs w:val="22"/>
              </w:rPr>
              <w:t>ортезная</w:t>
            </w:r>
            <w:proofErr w:type="spellEnd"/>
            <w:r w:rsidRPr="009B4BA9">
              <w:rPr>
                <w:sz w:val="22"/>
                <w:szCs w:val="22"/>
              </w:rPr>
              <w:t xml:space="preserve"> система, не должны содержать ядовитых (токсичных) компонентов, а также воздействовать на цвет поверхности (пола, одежды, кожи пользователя), с которым контактируют детали </w:t>
            </w:r>
            <w:proofErr w:type="spellStart"/>
            <w:r w:rsidRPr="009B4BA9">
              <w:rPr>
                <w:sz w:val="22"/>
                <w:szCs w:val="22"/>
              </w:rPr>
              <w:t>ортезной</w:t>
            </w:r>
            <w:proofErr w:type="spellEnd"/>
            <w:r w:rsidRPr="009B4BA9">
              <w:rPr>
                <w:sz w:val="22"/>
                <w:szCs w:val="22"/>
              </w:rPr>
              <w:t xml:space="preserve"> системы при их нормальной эксплуатации; они должны быть разрешены к применению Минздравом России.</w:t>
            </w:r>
          </w:p>
          <w:p w:rsidR="00D70F27" w:rsidRPr="009B4BA9" w:rsidRDefault="00D70F27" w:rsidP="00CD71D5">
            <w:pPr>
              <w:ind w:firstLine="492"/>
              <w:jc w:val="both"/>
              <w:rPr>
                <w:sz w:val="22"/>
                <w:szCs w:val="22"/>
              </w:rPr>
            </w:pPr>
            <w:r w:rsidRPr="009B4BA9">
              <w:rPr>
                <w:sz w:val="22"/>
                <w:szCs w:val="22"/>
              </w:rPr>
              <w:t>Срок предоставления гарантии качества Изделия должен составлять не менее 12 (Двенадцать) месяцев со дня поставки Получателю.</w:t>
            </w:r>
          </w:p>
          <w:p w:rsidR="00D70F27" w:rsidRPr="009B4BA9" w:rsidRDefault="00D70F27" w:rsidP="00CD71D5">
            <w:pPr>
              <w:ind w:firstLine="492"/>
              <w:jc w:val="both"/>
              <w:rPr>
                <w:sz w:val="22"/>
                <w:szCs w:val="22"/>
              </w:rPr>
            </w:pPr>
            <w:r w:rsidRPr="009B4BA9">
              <w:rPr>
                <w:sz w:val="22"/>
                <w:szCs w:val="22"/>
              </w:rPr>
              <w:t>В течение гарантийного срока в случае обнаружения Получателем недостатка в изделии, Поставщиком либо уполномоченной производителем организацией (индивидуальным предпринимателем) должны быть обеспечены замена изделия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(Двадцати) рабочих дней.</w:t>
            </w:r>
          </w:p>
          <w:p w:rsidR="00D70F27" w:rsidRPr="009B4BA9" w:rsidRDefault="00D70F27" w:rsidP="00CD71D5">
            <w:pPr>
              <w:ind w:firstLine="492"/>
              <w:jc w:val="both"/>
              <w:rPr>
                <w:sz w:val="22"/>
                <w:szCs w:val="22"/>
              </w:rPr>
            </w:pPr>
            <w:r w:rsidRPr="009B4BA9">
              <w:rPr>
                <w:sz w:val="22"/>
                <w:szCs w:val="22"/>
              </w:rPr>
              <w:t xml:space="preserve">В целях обеспечения возможности использования </w:t>
            </w:r>
            <w:proofErr w:type="spellStart"/>
            <w:r w:rsidRPr="009B4BA9">
              <w:rPr>
                <w:sz w:val="22"/>
                <w:szCs w:val="22"/>
              </w:rPr>
              <w:t>ортезной</w:t>
            </w:r>
            <w:proofErr w:type="spellEnd"/>
            <w:r w:rsidRPr="009B4BA9">
              <w:rPr>
                <w:sz w:val="22"/>
                <w:szCs w:val="22"/>
              </w:rPr>
              <w:t xml:space="preserve"> системы в течение его срока службы должны осуществляться ремонт и техническое обслуживание изделия. </w:t>
            </w:r>
          </w:p>
          <w:p w:rsidR="00D70F27" w:rsidRPr="009B4BA9" w:rsidRDefault="00D70F27" w:rsidP="00CD71D5">
            <w:pPr>
              <w:ind w:firstLine="492"/>
              <w:jc w:val="both"/>
              <w:rPr>
                <w:sz w:val="22"/>
                <w:szCs w:val="22"/>
              </w:rPr>
            </w:pPr>
            <w:r w:rsidRPr="009B4BA9">
              <w:rPr>
                <w:sz w:val="22"/>
                <w:szCs w:val="22"/>
              </w:rPr>
              <w:t>Поставка аппаратов на нижние конечности и туловище должна быть осуществлена по заявкам заказчика с учетом антропометрических данных инвалида.</w:t>
            </w:r>
          </w:p>
        </w:tc>
        <w:tc>
          <w:tcPr>
            <w:tcW w:w="789"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jc w:val="center"/>
              <w:rPr>
                <w:sz w:val="22"/>
                <w:szCs w:val="22"/>
              </w:rPr>
            </w:pPr>
            <w:r>
              <w:rPr>
                <w:sz w:val="22"/>
                <w:szCs w:val="22"/>
              </w:rPr>
              <w:lastRenderedPageBreak/>
              <w:t>6</w:t>
            </w:r>
          </w:p>
        </w:tc>
      </w:tr>
      <w:tr w:rsidR="00D70F27" w:rsidRPr="009B4BA9" w:rsidTr="00CD71D5">
        <w:trPr>
          <w:trHeight w:val="269"/>
        </w:trPr>
        <w:tc>
          <w:tcPr>
            <w:tcW w:w="784"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rPr>
                <w:sz w:val="22"/>
                <w:szCs w:val="22"/>
              </w:rPr>
            </w:pPr>
            <w:r w:rsidRPr="009B4BA9">
              <w:rPr>
                <w:sz w:val="22"/>
                <w:szCs w:val="22"/>
              </w:rPr>
              <w:lastRenderedPageBreak/>
              <w:t xml:space="preserve">    </w:t>
            </w:r>
            <w:r>
              <w:rPr>
                <w:sz w:val="22"/>
                <w:szCs w:val="22"/>
              </w:rPr>
              <w:t>3</w:t>
            </w:r>
          </w:p>
        </w:tc>
        <w:tc>
          <w:tcPr>
            <w:tcW w:w="1905"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jc w:val="center"/>
              <w:rPr>
                <w:sz w:val="22"/>
                <w:szCs w:val="22"/>
              </w:rPr>
            </w:pPr>
            <w:r w:rsidRPr="009B4BA9">
              <w:rPr>
                <w:sz w:val="22"/>
                <w:szCs w:val="22"/>
              </w:rPr>
              <w:t>Аппарат на нижние конечности и туловище</w:t>
            </w:r>
          </w:p>
          <w:p w:rsidR="00D70F27" w:rsidRPr="009B4BA9" w:rsidRDefault="00D70F27" w:rsidP="00CD71D5">
            <w:pPr>
              <w:rPr>
                <w:sz w:val="22"/>
                <w:szCs w:val="22"/>
              </w:rPr>
            </w:pPr>
          </w:p>
        </w:tc>
        <w:tc>
          <w:tcPr>
            <w:tcW w:w="6317"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pStyle w:val="caaieiaie11"/>
              <w:keepNext w:val="0"/>
              <w:tabs>
                <w:tab w:val="left" w:pos="270"/>
                <w:tab w:val="center" w:pos="1682"/>
              </w:tabs>
              <w:overflowPunct/>
              <w:autoSpaceDE/>
              <w:ind w:firstLine="350"/>
              <w:jc w:val="both"/>
              <w:rPr>
                <w:sz w:val="22"/>
                <w:szCs w:val="22"/>
              </w:rPr>
            </w:pPr>
            <w:r w:rsidRPr="009B4BA9">
              <w:rPr>
                <w:sz w:val="22"/>
                <w:szCs w:val="22"/>
              </w:rPr>
              <w:t xml:space="preserve">Аппарат на нижние конечности и туловище представляет собой </w:t>
            </w:r>
            <w:proofErr w:type="spellStart"/>
            <w:r w:rsidRPr="009B4BA9">
              <w:rPr>
                <w:sz w:val="22"/>
                <w:szCs w:val="22"/>
              </w:rPr>
              <w:t>ортезную</w:t>
            </w:r>
            <w:proofErr w:type="spellEnd"/>
            <w:r w:rsidRPr="009B4BA9">
              <w:rPr>
                <w:sz w:val="22"/>
                <w:szCs w:val="22"/>
              </w:rPr>
              <w:t xml:space="preserve"> систему, предназначенную для активной реабилитации и передвижения (самостоятельного хождения) больных, страдающих параличом нижних конечностей и туловища. </w:t>
            </w:r>
            <w:proofErr w:type="spellStart"/>
            <w:r w:rsidRPr="009B4BA9">
              <w:rPr>
                <w:sz w:val="22"/>
                <w:szCs w:val="22"/>
              </w:rPr>
              <w:t>Ортезная</w:t>
            </w:r>
            <w:proofErr w:type="spellEnd"/>
            <w:r w:rsidRPr="009B4BA9">
              <w:rPr>
                <w:sz w:val="22"/>
                <w:szCs w:val="22"/>
              </w:rPr>
              <w:t xml:space="preserve"> система должна обеспечивать принятие положения сидя и стоя без дополнительной помощи других вспомогательных средств. Движущей силой должно являться изменение расположения центра тяжести устройства и находящегося в нем инвалида.</w:t>
            </w:r>
          </w:p>
          <w:p w:rsidR="00D70F27" w:rsidRPr="009B4BA9" w:rsidRDefault="00D70F27" w:rsidP="00CD71D5">
            <w:pPr>
              <w:ind w:firstLine="350"/>
              <w:jc w:val="both"/>
              <w:rPr>
                <w:sz w:val="22"/>
                <w:szCs w:val="22"/>
              </w:rPr>
            </w:pPr>
            <w:r w:rsidRPr="009B4BA9">
              <w:rPr>
                <w:sz w:val="22"/>
                <w:szCs w:val="22"/>
              </w:rPr>
              <w:t xml:space="preserve">В комплект поставки должны входить: замок ремня безопасности, замок жилета, кронштейн в области грудной клетки, боковые подпорки в области плеч, жилет, ремень </w:t>
            </w:r>
            <w:r w:rsidRPr="009B4BA9">
              <w:rPr>
                <w:sz w:val="22"/>
                <w:szCs w:val="22"/>
              </w:rPr>
              <w:lastRenderedPageBreak/>
              <w:t>безопасности, верхний шарнир, держатели для рук, боковые кронштейны, наколенник, стабилизирующий прут сзади, полозья с платформами, нижний шарнир, кронштейны для подстраховки, эксплуатационная документация на русском языке.</w:t>
            </w:r>
          </w:p>
          <w:p w:rsidR="00D70F27" w:rsidRPr="009B4BA9" w:rsidRDefault="00D70F27" w:rsidP="00CD71D5">
            <w:pPr>
              <w:pStyle w:val="ab"/>
              <w:snapToGrid w:val="0"/>
              <w:spacing w:before="0" w:after="0"/>
              <w:jc w:val="both"/>
              <w:rPr>
                <w:sz w:val="22"/>
                <w:szCs w:val="22"/>
              </w:rPr>
            </w:pPr>
            <w:r w:rsidRPr="009B4BA9">
              <w:rPr>
                <w:sz w:val="22"/>
                <w:szCs w:val="22"/>
              </w:rPr>
              <w:t xml:space="preserve">Аппарат на нижние конечности и туловище </w:t>
            </w:r>
            <w:proofErr w:type="gramStart"/>
            <w:r w:rsidRPr="009B4BA9">
              <w:rPr>
                <w:sz w:val="22"/>
                <w:szCs w:val="22"/>
              </w:rPr>
              <w:t>должен  соответствовать</w:t>
            </w:r>
            <w:proofErr w:type="gramEnd"/>
            <w:r w:rsidRPr="009B4BA9">
              <w:rPr>
                <w:sz w:val="22"/>
                <w:szCs w:val="22"/>
              </w:rPr>
              <w:t xml:space="preserve"> техническим характеристикам и анатомическим особенностям получателя:</w:t>
            </w:r>
          </w:p>
          <w:p w:rsidR="00D70F27" w:rsidRPr="009B4BA9" w:rsidRDefault="00D70F27" w:rsidP="00CD71D5">
            <w:pPr>
              <w:rPr>
                <w:sz w:val="22"/>
                <w:szCs w:val="22"/>
              </w:rPr>
            </w:pPr>
            <w:r w:rsidRPr="009B4BA9">
              <w:rPr>
                <w:sz w:val="22"/>
                <w:szCs w:val="22"/>
              </w:rPr>
              <w:t>- рост инвалида: от 185 см. до 205 см;</w:t>
            </w:r>
          </w:p>
          <w:p w:rsidR="00D70F27" w:rsidRPr="009B4BA9" w:rsidRDefault="00D70F27" w:rsidP="00CD71D5">
            <w:pPr>
              <w:rPr>
                <w:sz w:val="22"/>
                <w:szCs w:val="22"/>
              </w:rPr>
            </w:pPr>
            <w:r w:rsidRPr="009B4BA9">
              <w:rPr>
                <w:sz w:val="22"/>
                <w:szCs w:val="22"/>
              </w:rPr>
              <w:t xml:space="preserve">- ширина бедер: от 37 см. </w:t>
            </w:r>
            <w:proofErr w:type="gramStart"/>
            <w:r w:rsidRPr="009B4BA9">
              <w:rPr>
                <w:sz w:val="22"/>
                <w:szCs w:val="22"/>
              </w:rPr>
              <w:t>до  61</w:t>
            </w:r>
            <w:proofErr w:type="gramEnd"/>
            <w:r w:rsidRPr="009B4BA9">
              <w:rPr>
                <w:sz w:val="22"/>
                <w:szCs w:val="22"/>
              </w:rPr>
              <w:t>,5см;</w:t>
            </w:r>
          </w:p>
          <w:p w:rsidR="00D70F27" w:rsidRPr="009B4BA9" w:rsidRDefault="00D70F27" w:rsidP="00CD71D5">
            <w:pPr>
              <w:rPr>
                <w:sz w:val="22"/>
                <w:szCs w:val="22"/>
              </w:rPr>
            </w:pPr>
            <w:r w:rsidRPr="009B4BA9">
              <w:rPr>
                <w:sz w:val="22"/>
                <w:szCs w:val="22"/>
              </w:rPr>
              <w:t>- глубина бедер: от 29 см. до 41 см;</w:t>
            </w:r>
          </w:p>
          <w:p w:rsidR="00D70F27" w:rsidRPr="009B4BA9" w:rsidRDefault="00D70F27" w:rsidP="00CD71D5">
            <w:pPr>
              <w:pStyle w:val="caaieiaie11"/>
              <w:keepNext w:val="0"/>
              <w:tabs>
                <w:tab w:val="left" w:pos="270"/>
                <w:tab w:val="center" w:pos="1682"/>
              </w:tabs>
              <w:overflowPunct/>
              <w:autoSpaceDE/>
              <w:jc w:val="both"/>
              <w:rPr>
                <w:sz w:val="22"/>
                <w:szCs w:val="22"/>
              </w:rPr>
            </w:pPr>
            <w:r w:rsidRPr="009B4BA9">
              <w:rPr>
                <w:sz w:val="22"/>
                <w:szCs w:val="22"/>
              </w:rPr>
              <w:t>- максимальный вес инвалида: не менее 110 кг.</w:t>
            </w:r>
          </w:p>
          <w:p w:rsidR="00D70F27" w:rsidRPr="009B4BA9" w:rsidRDefault="00D70F27" w:rsidP="00CD71D5">
            <w:pPr>
              <w:rPr>
                <w:sz w:val="22"/>
                <w:szCs w:val="22"/>
              </w:rPr>
            </w:pPr>
            <w:r w:rsidRPr="009B4BA9">
              <w:rPr>
                <w:sz w:val="22"/>
                <w:szCs w:val="22"/>
              </w:rPr>
              <w:t xml:space="preserve">- вес </w:t>
            </w:r>
            <w:proofErr w:type="gramStart"/>
            <w:r w:rsidRPr="009B4BA9">
              <w:rPr>
                <w:sz w:val="22"/>
                <w:szCs w:val="22"/>
              </w:rPr>
              <w:t>изделия  не</w:t>
            </w:r>
            <w:proofErr w:type="gramEnd"/>
            <w:r w:rsidRPr="009B4BA9">
              <w:rPr>
                <w:sz w:val="22"/>
                <w:szCs w:val="22"/>
              </w:rPr>
              <w:t xml:space="preserve"> более 30 кг.</w:t>
            </w:r>
          </w:p>
          <w:p w:rsidR="00D70F27" w:rsidRPr="009B4BA9" w:rsidRDefault="00D70F27" w:rsidP="00CD71D5">
            <w:pPr>
              <w:autoSpaceDE w:val="0"/>
              <w:autoSpaceDN w:val="0"/>
              <w:adjustRightInd w:val="0"/>
              <w:ind w:firstLine="350"/>
              <w:jc w:val="both"/>
              <w:rPr>
                <w:sz w:val="22"/>
                <w:szCs w:val="22"/>
              </w:rPr>
            </w:pPr>
            <w:r w:rsidRPr="009B4BA9">
              <w:rPr>
                <w:sz w:val="22"/>
                <w:szCs w:val="22"/>
              </w:rPr>
              <w:t xml:space="preserve">Материалы, из которых изготавливается </w:t>
            </w:r>
            <w:proofErr w:type="spellStart"/>
            <w:r w:rsidRPr="009B4BA9">
              <w:rPr>
                <w:sz w:val="22"/>
                <w:szCs w:val="22"/>
              </w:rPr>
              <w:t>ортезная</w:t>
            </w:r>
            <w:proofErr w:type="spellEnd"/>
            <w:r w:rsidRPr="009B4BA9">
              <w:rPr>
                <w:sz w:val="22"/>
                <w:szCs w:val="22"/>
              </w:rPr>
              <w:t xml:space="preserve"> система, не должны содержать ядовитых (токсичных) компонентов, а также воздействовать на цвет поверхности (пола, одежды, кожи пользователя), с которым контактируют детали </w:t>
            </w:r>
            <w:proofErr w:type="spellStart"/>
            <w:r w:rsidRPr="009B4BA9">
              <w:rPr>
                <w:sz w:val="22"/>
                <w:szCs w:val="22"/>
              </w:rPr>
              <w:t>ортезной</w:t>
            </w:r>
            <w:proofErr w:type="spellEnd"/>
            <w:r w:rsidRPr="009B4BA9">
              <w:rPr>
                <w:sz w:val="22"/>
                <w:szCs w:val="22"/>
              </w:rPr>
              <w:t xml:space="preserve"> системы при их нормальной эксплуатации; они должны быть разрешены к применению Минздравом России.</w:t>
            </w:r>
          </w:p>
          <w:p w:rsidR="00D70F27" w:rsidRPr="009B4BA9" w:rsidRDefault="00D70F27" w:rsidP="00CD71D5">
            <w:pPr>
              <w:ind w:firstLine="350"/>
              <w:jc w:val="both"/>
              <w:rPr>
                <w:sz w:val="22"/>
                <w:szCs w:val="22"/>
              </w:rPr>
            </w:pPr>
            <w:r w:rsidRPr="009B4BA9">
              <w:rPr>
                <w:sz w:val="22"/>
                <w:szCs w:val="22"/>
              </w:rPr>
              <w:t>Срок предоставления гарантии качества Изделия должен составлять не менее 12 (Двенадцать) месяцев со дня поставки Получателю.</w:t>
            </w:r>
          </w:p>
          <w:p w:rsidR="00D70F27" w:rsidRPr="009B4BA9" w:rsidRDefault="00D70F27" w:rsidP="00CD71D5">
            <w:pPr>
              <w:ind w:firstLine="350"/>
              <w:jc w:val="both"/>
              <w:rPr>
                <w:sz w:val="22"/>
                <w:szCs w:val="22"/>
              </w:rPr>
            </w:pPr>
            <w:r w:rsidRPr="009B4BA9">
              <w:rPr>
                <w:sz w:val="22"/>
                <w:szCs w:val="22"/>
              </w:rPr>
              <w:t>В течение гарантийного срока в случае обнаружения Получателем недостатка в изделии, Поставщиком либо уполномоченной производителем организацией (индивидуальным предпринимателем) должны быть обеспечены замена изделия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(Двадцати) рабочих дней.</w:t>
            </w:r>
          </w:p>
          <w:p w:rsidR="00D70F27" w:rsidRPr="009B4BA9" w:rsidRDefault="00D70F27" w:rsidP="00CD71D5">
            <w:pPr>
              <w:ind w:firstLine="350"/>
              <w:jc w:val="both"/>
              <w:rPr>
                <w:sz w:val="22"/>
                <w:szCs w:val="22"/>
              </w:rPr>
            </w:pPr>
            <w:r w:rsidRPr="009B4BA9">
              <w:rPr>
                <w:sz w:val="22"/>
                <w:szCs w:val="22"/>
              </w:rPr>
              <w:t xml:space="preserve"> В целях обеспечения возможности использования </w:t>
            </w:r>
            <w:proofErr w:type="spellStart"/>
            <w:r w:rsidRPr="009B4BA9">
              <w:rPr>
                <w:sz w:val="22"/>
                <w:szCs w:val="22"/>
              </w:rPr>
              <w:t>ортезной</w:t>
            </w:r>
            <w:proofErr w:type="spellEnd"/>
            <w:r w:rsidRPr="009B4BA9">
              <w:rPr>
                <w:sz w:val="22"/>
                <w:szCs w:val="22"/>
              </w:rPr>
              <w:t xml:space="preserve"> системы в течение его срока службы должны осуществляться ремонт и техническое обслуживание изделия. </w:t>
            </w:r>
          </w:p>
          <w:p w:rsidR="00D70F27" w:rsidRPr="009B4BA9" w:rsidRDefault="00D70F27" w:rsidP="00CD71D5">
            <w:pPr>
              <w:ind w:firstLine="350"/>
              <w:jc w:val="both"/>
              <w:rPr>
                <w:sz w:val="22"/>
                <w:szCs w:val="22"/>
              </w:rPr>
            </w:pPr>
            <w:r w:rsidRPr="009B4BA9">
              <w:rPr>
                <w:sz w:val="22"/>
                <w:szCs w:val="22"/>
              </w:rPr>
              <w:t>Поставка аппаратов на нижние конечности и туловище должна быть осуществлена по заявкам заказчика с учетом антропометрических данных инвалида.</w:t>
            </w:r>
          </w:p>
        </w:tc>
        <w:tc>
          <w:tcPr>
            <w:tcW w:w="789" w:type="dxa"/>
            <w:tcBorders>
              <w:top w:val="single" w:sz="4" w:space="0" w:color="auto"/>
              <w:left w:val="single" w:sz="4" w:space="0" w:color="auto"/>
              <w:bottom w:val="single" w:sz="4" w:space="0" w:color="auto"/>
              <w:right w:val="single" w:sz="4" w:space="0" w:color="auto"/>
            </w:tcBorders>
          </w:tcPr>
          <w:p w:rsidR="00D70F27" w:rsidRPr="009B4BA9" w:rsidRDefault="00D70F27" w:rsidP="00CD71D5">
            <w:pPr>
              <w:widowControl w:val="0"/>
              <w:suppressAutoHyphens w:val="0"/>
              <w:snapToGrid w:val="0"/>
              <w:spacing w:line="100" w:lineRule="atLeast"/>
              <w:jc w:val="center"/>
              <w:rPr>
                <w:sz w:val="22"/>
                <w:szCs w:val="22"/>
              </w:rPr>
            </w:pPr>
            <w:r>
              <w:rPr>
                <w:sz w:val="22"/>
                <w:szCs w:val="22"/>
              </w:rPr>
              <w:lastRenderedPageBreak/>
              <w:t>7</w:t>
            </w:r>
          </w:p>
        </w:tc>
      </w:tr>
    </w:tbl>
    <w:p w:rsidR="00D96A7D" w:rsidRPr="00EC3068" w:rsidRDefault="00D96A7D" w:rsidP="00D96A7D"/>
    <w:p w:rsidR="0073056E" w:rsidRPr="00EC3068" w:rsidRDefault="0073056E" w:rsidP="0073056E"/>
    <w:p w:rsidR="00D70F27" w:rsidRPr="00BC23A8" w:rsidRDefault="00D70F27" w:rsidP="00D70F27">
      <w:pPr>
        <w:widowControl w:val="0"/>
        <w:ind w:firstLine="709"/>
        <w:jc w:val="both"/>
      </w:pPr>
      <w:r w:rsidRPr="00BC23A8">
        <w:t>Согласно действующему законодательству аппараты на нижние конечности и туловище приобретаются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D70F27" w:rsidRPr="00BC23A8" w:rsidRDefault="00D70F27" w:rsidP="00D70F27">
      <w:pPr>
        <w:keepNext/>
        <w:ind w:firstLine="720"/>
        <w:jc w:val="both"/>
        <w:rPr>
          <w:b/>
        </w:rPr>
      </w:pPr>
      <w:r w:rsidRPr="00BC23A8">
        <w:rPr>
          <w:b/>
        </w:rPr>
        <w:t xml:space="preserve">Требования к качеству Изделия: </w:t>
      </w:r>
    </w:p>
    <w:p w:rsidR="00D70F27" w:rsidRPr="00BC23A8" w:rsidRDefault="00D70F27" w:rsidP="00D70F27">
      <w:pPr>
        <w:keepNext/>
        <w:ind w:firstLine="720"/>
        <w:jc w:val="both"/>
      </w:pPr>
      <w:r w:rsidRPr="00BC23A8">
        <w:t xml:space="preserve">Аппарат на нижние конечности и туловище, должен соответствовать </w:t>
      </w:r>
      <w:r>
        <w:t xml:space="preserve">                                   </w:t>
      </w:r>
      <w:r w:rsidRPr="00BC23A8">
        <w:t>ГОСТ ISO 10993-1-2011, ГОСТ ISO 10993-5-2011, ГОСТ ISO 10993-10-</w:t>
      </w:r>
      <w:proofErr w:type="gramStart"/>
      <w:r w:rsidRPr="00BC23A8">
        <w:t>2011,</w:t>
      </w:r>
      <w:r>
        <w:t xml:space="preserve">   </w:t>
      </w:r>
      <w:proofErr w:type="gramEnd"/>
      <w:r>
        <w:t xml:space="preserve">                             </w:t>
      </w:r>
      <w:r w:rsidRPr="00BC23A8">
        <w:t xml:space="preserve"> ГОСТ Р 52770-2016, ГОСТ Р 51632-2014, ГОСТ Р ИСО 22523-2007.</w:t>
      </w:r>
    </w:p>
    <w:p w:rsidR="00D70F27" w:rsidRPr="00BC23A8" w:rsidRDefault="00D70F27" w:rsidP="00D70F27">
      <w:pPr>
        <w:ind w:firstLine="709"/>
        <w:jc w:val="both"/>
      </w:pPr>
      <w:r w:rsidRPr="00BC23A8">
        <w:t>Наличие регистрационного удостоверения на медицинское изделие, оформленного в установленном порядке, обязательно.</w:t>
      </w:r>
    </w:p>
    <w:p w:rsidR="00D70F27" w:rsidRPr="00BC23A8" w:rsidRDefault="00D70F27" w:rsidP="00D70F27">
      <w:pPr>
        <w:keepNext/>
        <w:ind w:firstLine="720"/>
        <w:jc w:val="both"/>
        <w:rPr>
          <w:b/>
        </w:rPr>
      </w:pPr>
      <w:r w:rsidRPr="00BC23A8">
        <w:rPr>
          <w:b/>
        </w:rPr>
        <w:t>Гарантийный срок эксплуатации</w:t>
      </w:r>
    </w:p>
    <w:p w:rsidR="00D70F27" w:rsidRPr="00BC23A8" w:rsidRDefault="00D70F27" w:rsidP="00D70F27">
      <w:pPr>
        <w:widowControl w:val="0"/>
        <w:autoSpaceDE w:val="0"/>
        <w:ind w:firstLine="709"/>
        <w:jc w:val="both"/>
      </w:pPr>
      <w:r w:rsidRPr="00BC23A8">
        <w:rPr>
          <w:szCs w:val="20"/>
        </w:rPr>
        <w:t xml:space="preserve">К каждому Изделию прилагается индивидуальный паспорт на изделие (инструкция </w:t>
      </w:r>
      <w:r w:rsidRPr="00BC23A8">
        <w:rPr>
          <w:szCs w:val="20"/>
        </w:rPr>
        <w:lastRenderedPageBreak/>
        <w:t>по эксплуатации)</w:t>
      </w:r>
      <w:r w:rsidRPr="00BC23A8">
        <w:t>, а также памятка о порядке обеспечения 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D70F27" w:rsidRPr="00BC23A8" w:rsidRDefault="00D70F27" w:rsidP="00D70F27">
      <w:pPr>
        <w:widowControl w:val="0"/>
        <w:autoSpaceDE w:val="0"/>
        <w:ind w:firstLine="709"/>
        <w:jc w:val="both"/>
      </w:pPr>
      <w:r w:rsidRPr="00BC23A8">
        <w:t>Обеспечение возможности ремонта и технического обслуживания, устранения недостатков при обеспечении инвалида данным изделием осуществляется в соответствии с Федеральным законом от 07.02.1992 г. № 2300-1 «О защите прав потребителей».</w:t>
      </w:r>
    </w:p>
    <w:p w:rsidR="00D70F27" w:rsidRPr="00BC23A8" w:rsidRDefault="00D70F27" w:rsidP="00D70F27">
      <w:pPr>
        <w:keepNext/>
        <w:ind w:firstLine="709"/>
        <w:jc w:val="both"/>
      </w:pPr>
      <w:r w:rsidRPr="00BC23A8">
        <w:rPr>
          <w:b/>
        </w:rPr>
        <w:t>Требования к порядку поставки Изделия</w:t>
      </w:r>
      <w:r w:rsidRPr="00BC23A8">
        <w:rPr>
          <w:b/>
          <w:bCs/>
        </w:rPr>
        <w:t>:</w:t>
      </w:r>
      <w:r w:rsidRPr="00BC23A8">
        <w:t xml:space="preserve"> </w:t>
      </w:r>
    </w:p>
    <w:p w:rsidR="00D70F27" w:rsidRPr="00BC23A8" w:rsidRDefault="00D70F27" w:rsidP="00D70F27">
      <w:pPr>
        <w:widowControl w:val="0"/>
        <w:shd w:val="clear" w:color="auto" w:fill="FFFFFF"/>
        <w:tabs>
          <w:tab w:val="left" w:pos="0"/>
        </w:tabs>
        <w:autoSpaceDE w:val="0"/>
        <w:ind w:firstLine="709"/>
        <w:jc w:val="both"/>
      </w:pPr>
      <w:r w:rsidRPr="00BC23A8">
        <w:t>-</w:t>
      </w:r>
      <w:r w:rsidRPr="00BC23A8">
        <w:rPr>
          <w:b/>
        </w:rPr>
        <w:t>Место поставки:</w:t>
      </w:r>
      <w:r w:rsidRPr="00BC23A8">
        <w:t xml:space="preserve"> г. Курган и Курганская область по месту жительства Получателя или по месту нахождения пунктов выдачи на территории г. Кургане и Курганской области (право выбора способа получения Изделия предоставляется Получателю)</w:t>
      </w:r>
      <w:r w:rsidRPr="00BC23A8">
        <w:rPr>
          <w:lang w:eastAsia="ru-RU"/>
        </w:rPr>
        <w:t xml:space="preserve">. </w:t>
      </w:r>
      <w:r w:rsidRPr="00BC23A8">
        <w:t xml:space="preserve"> </w:t>
      </w:r>
    </w:p>
    <w:p w:rsidR="00D70F27" w:rsidRPr="00BC23A8" w:rsidRDefault="00D70F27" w:rsidP="00D70F27">
      <w:pPr>
        <w:widowControl w:val="0"/>
        <w:shd w:val="clear" w:color="auto" w:fill="FFFFFF"/>
        <w:tabs>
          <w:tab w:val="left" w:pos="0"/>
        </w:tabs>
        <w:autoSpaceDE w:val="0"/>
        <w:ind w:firstLine="709"/>
        <w:jc w:val="both"/>
        <w:rPr>
          <w:lang w:eastAsia="ru-RU"/>
        </w:rPr>
      </w:pPr>
      <w:r w:rsidRPr="00BC23A8">
        <w:rPr>
          <w:b/>
        </w:rPr>
        <w:t>-Срок поставки Изделия</w:t>
      </w:r>
      <w:r w:rsidRPr="00BC23A8">
        <w:t xml:space="preserve">: не позднее 15.12.2018 года и не позднее </w:t>
      </w:r>
      <w:r w:rsidRPr="00BC23A8">
        <w:rPr>
          <w:lang w:eastAsia="ru-RU"/>
        </w:rPr>
        <w:t>5 рабочих дней со дня получения информации о Получателе, которому Заказчик выдал направление, или в течение 5 (пяти) рабочих дней со дня получения от Получателя направления Заказчика.</w:t>
      </w:r>
    </w:p>
    <w:p w:rsidR="00D70F27" w:rsidRPr="00BC23A8" w:rsidRDefault="00D70F27" w:rsidP="00D70F27">
      <w:pPr>
        <w:widowControl w:val="0"/>
        <w:shd w:val="clear" w:color="auto" w:fill="FFFFFF"/>
        <w:tabs>
          <w:tab w:val="left" w:pos="0"/>
        </w:tabs>
        <w:autoSpaceDE w:val="0"/>
        <w:ind w:firstLine="709"/>
        <w:jc w:val="both"/>
      </w:pPr>
      <w:r w:rsidRPr="00BC23A8">
        <w:rPr>
          <w:bCs/>
        </w:rPr>
        <w:t>Поставщик обязан на приемку в срок не позднее 30 (тридцати) календарных дней со дня заключения Контракта предоставить изделие.</w:t>
      </w:r>
    </w:p>
    <w:p w:rsidR="00CE3B47" w:rsidRPr="00EC3068" w:rsidRDefault="00CE3B47" w:rsidP="0073056E">
      <w:bookmarkStart w:id="0" w:name="_GoBack"/>
      <w:bookmarkEnd w:id="0"/>
    </w:p>
    <w:p w:rsidR="00A61026" w:rsidRPr="00EC3068" w:rsidRDefault="00A61026" w:rsidP="0073056E"/>
    <w:p w:rsidR="00A61026" w:rsidRPr="00EC3068" w:rsidRDefault="00A61026" w:rsidP="0073056E"/>
    <w:sectPr w:rsidR="00A61026" w:rsidRPr="00EC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2">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50D46"/>
    <w:rsid w:val="001B6B7D"/>
    <w:rsid w:val="0038453B"/>
    <w:rsid w:val="004A2D67"/>
    <w:rsid w:val="00503035"/>
    <w:rsid w:val="0057378C"/>
    <w:rsid w:val="00667533"/>
    <w:rsid w:val="0073056E"/>
    <w:rsid w:val="007346DC"/>
    <w:rsid w:val="00791F37"/>
    <w:rsid w:val="00A454E2"/>
    <w:rsid w:val="00A61026"/>
    <w:rsid w:val="00CD1E75"/>
    <w:rsid w:val="00CE3B47"/>
    <w:rsid w:val="00D70F27"/>
    <w:rsid w:val="00D96A7D"/>
    <w:rsid w:val="00E26595"/>
    <w:rsid w:val="00EC3068"/>
    <w:rsid w:val="00F152E7"/>
    <w:rsid w:val="00F81FC2"/>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24</cp:revision>
  <cp:lastPrinted>2018-01-31T08:20:00Z</cp:lastPrinted>
  <dcterms:created xsi:type="dcterms:W3CDTF">2018-01-31T08:19:00Z</dcterms:created>
  <dcterms:modified xsi:type="dcterms:W3CDTF">2018-07-20T06:47:00Z</dcterms:modified>
</cp:coreProperties>
</file>