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задание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поставку подгузников для обеспечения детей-инвалидов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AF4824" w:rsidRDefault="001832D5" w:rsidP="00AF482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9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2F103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B5C65">
        <w:rPr>
          <w:rFonts w:ascii="Times New Roman" w:eastAsia="Times New Roman" w:hAnsi="Times New Roman" w:cs="Times New Roman"/>
          <w:sz w:val="24"/>
          <w:szCs w:val="24"/>
          <w:lang w:eastAsia="ar-SA"/>
        </w:rPr>
        <w:t>192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(влагопоглощение подгузников должно соответствовать весу ребенка до 20 кг)</w:t>
      </w:r>
      <w:r w:rsidR="001323F9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количестве –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5C65">
        <w:rPr>
          <w:rFonts w:ascii="Times New Roman" w:eastAsia="Times New Roman" w:hAnsi="Times New Roman" w:cs="Times New Roman"/>
          <w:sz w:val="24"/>
          <w:szCs w:val="24"/>
          <w:lang w:eastAsia="ar-SA"/>
        </w:rPr>
        <w:t>74765</w:t>
      </w:r>
      <w:r w:rsidR="003E2880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AF4824" w:rsidRDefault="001832D5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свыше 20 кг </w:t>
      </w:r>
      <w:r w:rsidR="00C150D4"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(влагопоглощение подгузников должно соответствовать весу ребенка до 30 кг) </w:t>
      </w:r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0B5C65">
        <w:rPr>
          <w:rFonts w:ascii="Times New Roman" w:eastAsia="Times New Roman" w:hAnsi="Times New Roman" w:cs="Times New Roman"/>
          <w:sz w:val="24"/>
          <w:szCs w:val="24"/>
          <w:lang w:eastAsia="ar-SA"/>
        </w:rPr>
        <w:t>60857</w:t>
      </w:r>
      <w:bookmarkStart w:id="0" w:name="_GoBack"/>
      <w:bookmarkEnd w:id="0"/>
      <w:r w:rsidRPr="00AF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требованиям стандарта ГОСТ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52557-2011 «Подгузники детские бумажные. Общие технические условия».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Влагопоглощение подгузников детских должно соответствовать весу ребенка.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подгузников должно обеспечивать возможность использования детьми обоего пола.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AF4824" w:rsidRPr="00AF4824" w:rsidRDefault="00AF4824" w:rsidP="00A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AF4824" w:rsidRPr="00AF4824" w:rsidRDefault="00AF4824" w:rsidP="00AF4824">
      <w:pPr>
        <w:pStyle w:val="33"/>
        <w:ind w:firstLine="556"/>
        <w:rPr>
          <w:sz w:val="24"/>
          <w:szCs w:val="24"/>
        </w:rPr>
      </w:pPr>
      <w:r w:rsidRPr="00AF4824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 и </w:t>
      </w:r>
      <w:proofErr w:type="spellStart"/>
      <w:r w:rsidRPr="00AF4824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AF4824">
        <w:rPr>
          <w:rFonts w:ascii="Times New Roman" w:hAnsi="Times New Roman" w:cs="Times New Roman"/>
          <w:sz w:val="24"/>
          <w:szCs w:val="24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</w:t>
      </w:r>
      <w:r w:rsidRPr="00AF4824">
        <w:rPr>
          <w:rFonts w:ascii="Times New Roman" w:hAnsi="Times New Roman" w:cs="Times New Roman"/>
          <w:sz w:val="24"/>
          <w:szCs w:val="24"/>
        </w:rPr>
        <w:lastRenderedPageBreak/>
        <w:t>заварены.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В соответствии с пунктом 5.11.2 ГОСТа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55082-2012 маркировка на потребительской упаковке подгузников должна содержать: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 обозначение настоящего стандарта;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AF4824" w:rsidRPr="00AF4824" w:rsidRDefault="00AF4824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24">
        <w:rPr>
          <w:rFonts w:ascii="Times New Roman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AF4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824">
        <w:rPr>
          <w:rFonts w:ascii="Times New Roman" w:hAnsi="Times New Roman" w:cs="Times New Roman"/>
          <w:sz w:val="24"/>
          <w:szCs w:val="24"/>
        </w:rPr>
        <w:t xml:space="preserve"> чем до 31.03.2019 года. </w:t>
      </w:r>
    </w:p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E8" w:rsidRDefault="00510DE8" w:rsidP="001832D5">
      <w:pPr>
        <w:spacing w:after="0" w:line="240" w:lineRule="auto"/>
      </w:pPr>
      <w:r>
        <w:separator/>
      </w:r>
    </w:p>
  </w:endnote>
  <w:end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E8" w:rsidRDefault="00510DE8" w:rsidP="001832D5">
      <w:pPr>
        <w:spacing w:after="0" w:line="240" w:lineRule="auto"/>
      </w:pPr>
      <w:r>
        <w:separator/>
      </w:r>
    </w:p>
  </w:footnote>
  <w:foot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0B5C65"/>
    <w:rsid w:val="001143E5"/>
    <w:rsid w:val="001323F9"/>
    <w:rsid w:val="00162BC5"/>
    <w:rsid w:val="001832D5"/>
    <w:rsid w:val="00220468"/>
    <w:rsid w:val="002F1034"/>
    <w:rsid w:val="003E2880"/>
    <w:rsid w:val="004171C1"/>
    <w:rsid w:val="004E09CF"/>
    <w:rsid w:val="00510DE8"/>
    <w:rsid w:val="00AC68AA"/>
    <w:rsid w:val="00AF4824"/>
    <w:rsid w:val="00BB3317"/>
    <w:rsid w:val="00C071F0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Popova_SV</cp:lastModifiedBy>
  <cp:revision>11</cp:revision>
  <dcterms:created xsi:type="dcterms:W3CDTF">2018-03-19T03:47:00Z</dcterms:created>
  <dcterms:modified xsi:type="dcterms:W3CDTF">2018-07-25T08:12:00Z</dcterms:modified>
</cp:coreProperties>
</file>