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F4" w:rsidRPr="004344F2" w:rsidRDefault="00B309F4" w:rsidP="00B40AF4">
      <w:pPr>
        <w:jc w:val="center"/>
        <w:rPr>
          <w:rFonts w:ascii="Times New Roman" w:hAnsi="Times New Roman"/>
          <w:sz w:val="22"/>
          <w:szCs w:val="22"/>
        </w:rPr>
      </w:pPr>
      <w:r w:rsidRPr="004344F2">
        <w:rPr>
          <w:rFonts w:ascii="Times New Roman" w:hAnsi="Times New Roman"/>
          <w:sz w:val="22"/>
          <w:szCs w:val="22"/>
        </w:rPr>
        <w:t>Техническое задание</w:t>
      </w:r>
    </w:p>
    <w:p w:rsidR="00B309F4" w:rsidRDefault="00B309F4" w:rsidP="00B40AF4">
      <w:pPr>
        <w:jc w:val="center"/>
        <w:rPr>
          <w:rFonts w:ascii="Times New Roman" w:hAnsi="Times New Roman"/>
          <w:sz w:val="22"/>
          <w:szCs w:val="22"/>
        </w:rPr>
      </w:pPr>
      <w:r w:rsidRPr="004344F2">
        <w:rPr>
          <w:rFonts w:ascii="Times New Roman" w:hAnsi="Times New Roman"/>
          <w:sz w:val="22"/>
          <w:szCs w:val="22"/>
        </w:rPr>
        <w:t xml:space="preserve">для проведения конкурсного отбора </w:t>
      </w:r>
      <w:r w:rsidR="00454538">
        <w:rPr>
          <w:rFonts w:ascii="Times New Roman" w:hAnsi="Times New Roman"/>
          <w:sz w:val="22"/>
          <w:szCs w:val="22"/>
        </w:rPr>
        <w:t xml:space="preserve">организаций на выполнение работ </w:t>
      </w:r>
      <w:r w:rsidR="00454538" w:rsidRPr="00454538">
        <w:rPr>
          <w:rFonts w:ascii="Times New Roman" w:hAnsi="Times New Roman"/>
          <w:sz w:val="22"/>
          <w:szCs w:val="22"/>
        </w:rPr>
        <w:t>по обеспечению в 2018 году инвалидов и отдельных категорий граждан из числа ветеранов, протезами верхних конечностей</w:t>
      </w:r>
    </w:p>
    <w:p w:rsidR="004E6869" w:rsidRPr="004344F2" w:rsidRDefault="004E6869" w:rsidP="00B40AF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98"/>
        <w:gridCol w:w="851"/>
      </w:tblGrid>
      <w:tr w:rsidR="00454538" w:rsidRPr="004344F2" w:rsidTr="00454538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538" w:rsidRPr="004344F2" w:rsidRDefault="00454538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7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538" w:rsidRPr="004344F2" w:rsidRDefault="00454538" w:rsidP="000F485B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4538" w:rsidRPr="004344F2" w:rsidRDefault="00454538" w:rsidP="00B309F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4344F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4344F2">
              <w:rPr>
                <w:rFonts w:ascii="Times New Roman" w:hAnsi="Times New Roman"/>
                <w:sz w:val="22"/>
                <w:szCs w:val="22"/>
              </w:rPr>
              <w:t xml:space="preserve">во </w:t>
            </w:r>
          </w:p>
        </w:tc>
      </w:tr>
      <w:tr w:rsidR="00454538" w:rsidRPr="00B40AF4" w:rsidTr="00454538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538" w:rsidRPr="009A5B2E" w:rsidRDefault="00454538" w:rsidP="00732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Протез предплечья активный  </w:t>
            </w:r>
          </w:p>
        </w:tc>
        <w:tc>
          <w:tcPr>
            <w:tcW w:w="7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538" w:rsidRPr="004E6869" w:rsidRDefault="00454538" w:rsidP="004E6869">
            <w:pPr>
              <w:snapToGrid w:val="0"/>
              <w:jc w:val="both"/>
              <w:rPr>
                <w:rFonts w:ascii="Times New Roman" w:eastAsia="Calibri" w:hAnsi="Times New Roman"/>
                <w:sz w:val="24"/>
              </w:rPr>
            </w:pPr>
            <w:r w:rsidRPr="004E6869">
              <w:rPr>
                <w:rFonts w:ascii="Times New Roman" w:eastAsia="Calibri" w:hAnsi="Times New Roman"/>
                <w:sz w:val="22"/>
              </w:rPr>
              <w:t xml:space="preserve">Протез предплечья должен быть предназначен для компенсации врожденных и ампутационных дефектов предплечья. Управление протезом должно обеспечиваться движениями в локтевом суставе, которое будет вызывать натяжение тяговых тросов. Протез должен состоять из двух приемных гильз, связанных шарниром на уровне локтевого сустава. </w:t>
            </w:r>
            <w:proofErr w:type="spellStart"/>
            <w:r w:rsidRPr="004E6869">
              <w:rPr>
                <w:rFonts w:ascii="Times New Roman" w:eastAsia="Calibri" w:hAnsi="Times New Roman"/>
                <w:sz w:val="22"/>
              </w:rPr>
              <w:t>Схват</w:t>
            </w:r>
            <w:proofErr w:type="spellEnd"/>
            <w:r w:rsidRPr="004E6869">
              <w:rPr>
                <w:rFonts w:ascii="Times New Roman" w:eastAsia="Calibri" w:hAnsi="Times New Roman"/>
                <w:sz w:val="22"/>
              </w:rPr>
              <w:t xml:space="preserve"> должен быть активный, </w:t>
            </w:r>
            <w:proofErr w:type="spellStart"/>
            <w:r w:rsidRPr="004E6869">
              <w:rPr>
                <w:rFonts w:ascii="Times New Roman" w:eastAsia="Calibri" w:hAnsi="Times New Roman"/>
                <w:sz w:val="22"/>
              </w:rPr>
              <w:t>разжатие</w:t>
            </w:r>
            <w:proofErr w:type="spellEnd"/>
            <w:r w:rsidRPr="004E6869">
              <w:rPr>
                <w:rFonts w:ascii="Times New Roman" w:eastAsia="Calibri" w:hAnsi="Times New Roman"/>
                <w:sz w:val="22"/>
              </w:rPr>
              <w:t xml:space="preserve"> пальцев протеза должно происходить за счет пружин. Протез предплечья должен иметь пассивную ротацию кисти в лучезапястном суставе. Внутренняя гильза должна изготавливаться по слепку, путем </w:t>
            </w:r>
            <w:proofErr w:type="spellStart"/>
            <w:r w:rsidRPr="004E6869">
              <w:rPr>
                <w:rFonts w:ascii="Times New Roman" w:eastAsia="Calibri" w:hAnsi="Times New Roman"/>
                <w:sz w:val="22"/>
              </w:rPr>
              <w:t>ламинирования</w:t>
            </w:r>
            <w:proofErr w:type="spellEnd"/>
            <w:r w:rsidRPr="004E6869">
              <w:rPr>
                <w:rFonts w:ascii="Times New Roman" w:eastAsia="Calibri" w:hAnsi="Times New Roman"/>
                <w:sz w:val="22"/>
              </w:rPr>
              <w:t xml:space="preserve"> или из термопластика, непосредственно по культе. Несущая гильза должна изготавливаться по технологиям трехмерной печати или из углепластиков. Протез должен иметь возможность фиксации </w:t>
            </w:r>
            <w:proofErr w:type="spellStart"/>
            <w:r w:rsidRPr="004E6869">
              <w:rPr>
                <w:rFonts w:ascii="Times New Roman" w:eastAsia="Calibri" w:hAnsi="Times New Roman"/>
                <w:sz w:val="22"/>
              </w:rPr>
              <w:t>схвата</w:t>
            </w:r>
            <w:proofErr w:type="spellEnd"/>
            <w:r w:rsidRPr="004E6869">
              <w:rPr>
                <w:rFonts w:ascii="Times New Roman" w:eastAsia="Calibri" w:hAnsi="Times New Roman"/>
                <w:sz w:val="22"/>
              </w:rPr>
              <w:t xml:space="preserve"> в закрытом состоянии.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4538" w:rsidRPr="009A5B2E" w:rsidRDefault="00454538" w:rsidP="00173DEB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54538" w:rsidRPr="00B40AF4" w:rsidTr="00454538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538" w:rsidRPr="009A5B2E" w:rsidRDefault="00454538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7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538" w:rsidRPr="009A5B2E" w:rsidRDefault="00454538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4538" w:rsidRPr="009A5B2E" w:rsidRDefault="00454538" w:rsidP="00173DEB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</w:tr>
    </w:tbl>
    <w:p w:rsidR="008B18DE" w:rsidRPr="00B40AF4" w:rsidRDefault="008B18DE" w:rsidP="008B18DE">
      <w:pPr>
        <w:pStyle w:val="a4"/>
        <w:widowControl w:val="0"/>
        <w:suppressLineNumbers/>
        <w:suppressAutoHyphens w:val="0"/>
        <w:snapToGrid w:val="0"/>
        <w:spacing w:after="0"/>
        <w:rPr>
          <w:rFonts w:eastAsia="Arial Unicode MS"/>
          <w:kern w:val="1"/>
        </w:rPr>
      </w:pPr>
    </w:p>
    <w:p w:rsidR="008B18DE" w:rsidRPr="00B40AF4" w:rsidRDefault="008B18DE" w:rsidP="008B18DE">
      <w:pPr>
        <w:pStyle w:val="a4"/>
        <w:widowControl w:val="0"/>
        <w:suppressLineNumbers/>
        <w:suppressAutoHyphens w:val="0"/>
        <w:snapToGrid w:val="0"/>
        <w:spacing w:after="0"/>
        <w:ind w:firstLine="708"/>
        <w:rPr>
          <w:bCs/>
          <w:color w:val="000000"/>
        </w:rPr>
      </w:pPr>
      <w:r w:rsidRPr="00B40AF4">
        <w:rPr>
          <w:bCs/>
          <w:color w:val="000000"/>
        </w:rPr>
        <w:t>Качество протезов верхних конечностей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8B18DE" w:rsidRPr="00B40AF4" w:rsidRDefault="008B18DE" w:rsidP="003A32A2">
      <w:pPr>
        <w:pStyle w:val="a4"/>
        <w:widowControl w:val="0"/>
        <w:suppressLineNumbers/>
        <w:suppressAutoHyphens w:val="0"/>
        <w:snapToGrid w:val="0"/>
        <w:spacing w:after="0"/>
        <w:ind w:firstLine="680"/>
        <w:rPr>
          <w:bCs/>
          <w:color w:val="000000"/>
        </w:rPr>
      </w:pPr>
      <w:r w:rsidRPr="00B40AF4">
        <w:rPr>
          <w:bCs/>
          <w:color w:val="000000"/>
        </w:rPr>
        <w:t>Требования к качеству работ</w:t>
      </w:r>
      <w:r w:rsidR="0016506B">
        <w:rPr>
          <w:bCs/>
          <w:color w:val="000000"/>
        </w:rPr>
        <w:t>.</w:t>
      </w:r>
    </w:p>
    <w:p w:rsidR="00722F7C" w:rsidRDefault="008B18DE" w:rsidP="00722F7C">
      <w:pPr>
        <w:pStyle w:val="a4"/>
        <w:spacing w:after="0"/>
        <w:ind w:firstLine="680"/>
      </w:pPr>
      <w:r w:rsidRPr="00B40AF4">
        <w:rPr>
          <w:color w:val="000000"/>
        </w:rPr>
        <w:t>Протезы верхних конечностей должны соответствовать требованиям Национального стандарта Российск</w:t>
      </w:r>
      <w:r w:rsidR="00DF7573">
        <w:rPr>
          <w:color w:val="000000"/>
        </w:rPr>
        <w:t xml:space="preserve">ой Федерации </w:t>
      </w:r>
      <w:r w:rsidR="00722F7C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722F7C" w:rsidRPr="00F43252">
        <w:rPr>
          <w:color w:val="000000"/>
        </w:rPr>
        <w:t>; ГОСТ Р 5</w:t>
      </w:r>
      <w:r w:rsidR="00722F7C">
        <w:rPr>
          <w:color w:val="000000"/>
        </w:rPr>
        <w:t>2770-20</w:t>
      </w:r>
      <w:r w:rsidR="00E54800">
        <w:rPr>
          <w:color w:val="000000"/>
        </w:rPr>
        <w:t>16</w:t>
      </w:r>
      <w:r w:rsidR="00722F7C">
        <w:rPr>
          <w:color w:val="000000"/>
        </w:rPr>
        <w:t xml:space="preserve"> </w:t>
      </w:r>
      <w:r w:rsidR="00722F7C" w:rsidRPr="00F43252">
        <w:rPr>
          <w:color w:val="000000"/>
        </w:rPr>
        <w:t>«</w:t>
      </w:r>
      <w:r w:rsidR="00722F7C">
        <w:rPr>
          <w:color w:val="000000"/>
        </w:rPr>
        <w:t>Изделия медицинские. Требования безопасности. Методы санитарно-химических и токсикологических испытаний</w:t>
      </w:r>
      <w:r w:rsidR="00722F7C" w:rsidRPr="00F43252">
        <w:rPr>
          <w:color w:val="000000"/>
        </w:rPr>
        <w:t>».</w:t>
      </w:r>
      <w:r w:rsidR="00722F7C" w:rsidRPr="002B2E25">
        <w:rPr>
          <w:spacing w:val="-1"/>
        </w:rPr>
        <w:t xml:space="preserve"> </w:t>
      </w:r>
      <w:r w:rsidR="00722F7C" w:rsidRPr="00A227E9">
        <w:rPr>
          <w:spacing w:val="-1"/>
        </w:rPr>
        <w:t>ГОСТ ИСО 10993-1-2011</w:t>
      </w:r>
      <w:r w:rsidR="00722F7C" w:rsidRPr="00A227E9">
        <w:t xml:space="preserve"> "Изделия медицинские. Оценка биологического действия медицинских изделий. Часть 1. Оценка и исследования",</w:t>
      </w:r>
      <w:r w:rsidR="00722F7C" w:rsidRPr="00A227E9">
        <w:rPr>
          <w:spacing w:val="-1"/>
        </w:rPr>
        <w:t xml:space="preserve">10993-5-2011 </w:t>
      </w:r>
      <w:r w:rsidR="00722F7C" w:rsidRPr="00A227E9"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="00722F7C" w:rsidRPr="00A227E9">
        <w:t>цитотоксичность</w:t>
      </w:r>
      <w:proofErr w:type="spellEnd"/>
      <w:r w:rsidR="00722F7C" w:rsidRPr="00A227E9">
        <w:t xml:space="preserve">: методы </w:t>
      </w:r>
      <w:proofErr w:type="spellStart"/>
      <w:r w:rsidR="00722F7C" w:rsidRPr="00A227E9">
        <w:t>in</w:t>
      </w:r>
      <w:proofErr w:type="spellEnd"/>
      <w:r w:rsidR="00722F7C" w:rsidRPr="00A227E9">
        <w:t xml:space="preserve"> </w:t>
      </w:r>
      <w:proofErr w:type="spellStart"/>
      <w:r w:rsidR="00722F7C" w:rsidRPr="00A227E9">
        <w:t>vitro</w:t>
      </w:r>
      <w:proofErr w:type="spellEnd"/>
      <w:r w:rsidR="00722F7C" w:rsidRPr="00A227E9">
        <w:t>",</w:t>
      </w:r>
      <w:r w:rsidR="00722F7C" w:rsidRPr="00A227E9">
        <w:rPr>
          <w:spacing w:val="-1"/>
        </w:rPr>
        <w:t xml:space="preserve"> 10993-10-2011 </w:t>
      </w:r>
      <w:r w:rsidR="00722F7C" w:rsidRPr="00A227E9">
        <w:t>"Изделия медицинские. Оценка биологического действия медицинских изделий. Часть 10. Исследования раздражающего и сенсибилизирующего действия"</w:t>
      </w:r>
      <w:r w:rsidR="00722F7C">
        <w:t xml:space="preserve">. ГОСТ Р ИСО 22523-2007 «Протезы конечностей и </w:t>
      </w:r>
      <w:proofErr w:type="spellStart"/>
      <w:r w:rsidR="00722F7C">
        <w:t>ортезы</w:t>
      </w:r>
      <w:proofErr w:type="spellEnd"/>
      <w:r w:rsidR="00722F7C">
        <w:t xml:space="preserve"> наружные. Требования и методы испытаний».</w:t>
      </w:r>
    </w:p>
    <w:p w:rsidR="008B18DE" w:rsidRPr="00B40AF4" w:rsidRDefault="008B18DE" w:rsidP="00722F7C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Изготовитель должен изготавливать протезы, удовле</w:t>
      </w:r>
      <w:r w:rsidR="0016506B">
        <w:rPr>
          <w:color w:val="000000"/>
        </w:rPr>
        <w:t>творяющие следующим требованиям.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 xml:space="preserve">- не должно создаваться угрозы для жизни и здоровья получателя, окружающей среды, а </w:t>
      </w:r>
      <w:proofErr w:type="gramStart"/>
      <w:r w:rsidRPr="00B40AF4">
        <w:rPr>
          <w:color w:val="000000"/>
        </w:rPr>
        <w:t>так же</w:t>
      </w:r>
      <w:proofErr w:type="gramEnd"/>
      <w:r w:rsidRPr="00B40AF4">
        <w:rPr>
          <w:color w:val="000000"/>
        </w:rPr>
        <w:t xml:space="preserve"> использование протезов не должно причинять вред имуществу получателя при его эксплуатации.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</w:t>
      </w:r>
      <w:r w:rsidR="0016506B">
        <w:rPr>
          <w:color w:val="000000"/>
        </w:rPr>
        <w:t>) компонентов, не воздействовать</w:t>
      </w:r>
      <w:r w:rsidRPr="00B40AF4">
        <w:rPr>
          <w:color w:val="000000"/>
        </w:rPr>
        <w:t xml:space="preserve"> на цвет поверхности, с которой контактируют те или иные детали протеза при его нормальной эксплуатации.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B18DE" w:rsidRPr="00B40AF4" w:rsidRDefault="008B18DE" w:rsidP="0016506B">
      <w:pPr>
        <w:pStyle w:val="a4"/>
        <w:spacing w:after="0"/>
        <w:rPr>
          <w:color w:val="000000"/>
        </w:rPr>
      </w:pPr>
      <w:r w:rsidRPr="00B40AF4">
        <w:rPr>
          <w:color w:val="000000"/>
        </w:rPr>
        <w:t>Требования к результатам работ</w:t>
      </w:r>
      <w:r w:rsidR="0016506B">
        <w:rPr>
          <w:color w:val="000000"/>
        </w:rPr>
        <w:t>.</w:t>
      </w:r>
    </w:p>
    <w:p w:rsidR="008B18DE" w:rsidRPr="00DB563D" w:rsidRDefault="008B18DE" w:rsidP="00DB563D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Работы по обеспечению получателей протезами верхних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4E6869" w:rsidRDefault="0016506B" w:rsidP="00DB563D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гарантии на протезы верхних </w:t>
      </w:r>
      <w:r w:rsidR="00AE4CA3">
        <w:rPr>
          <w:rFonts w:ascii="Times New Roman" w:hAnsi="Times New Roman"/>
          <w:sz w:val="24"/>
        </w:rPr>
        <w:t>конечностей не менее 7 месяцев.</w:t>
      </w:r>
    </w:p>
    <w:p w:rsidR="000A420F" w:rsidRDefault="0016506B" w:rsidP="00DB563D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пользования</w:t>
      </w:r>
      <w:r w:rsidR="000A420F">
        <w:rPr>
          <w:rFonts w:ascii="Times New Roman" w:hAnsi="Times New Roman"/>
          <w:sz w:val="24"/>
        </w:rPr>
        <w:t xml:space="preserve"> протезами</w:t>
      </w:r>
      <w:r>
        <w:rPr>
          <w:rFonts w:ascii="Times New Roman" w:hAnsi="Times New Roman"/>
          <w:sz w:val="24"/>
        </w:rPr>
        <w:t xml:space="preserve"> верхних конечностей </w:t>
      </w:r>
      <w:r w:rsidR="00E54800">
        <w:rPr>
          <w:rFonts w:ascii="Times New Roman" w:hAnsi="Times New Roman"/>
          <w:sz w:val="24"/>
        </w:rPr>
        <w:t xml:space="preserve">должен составлять </w:t>
      </w:r>
      <w:r>
        <w:rPr>
          <w:rFonts w:ascii="Times New Roman" w:hAnsi="Times New Roman"/>
          <w:sz w:val="24"/>
        </w:rPr>
        <w:t xml:space="preserve">для </w:t>
      </w:r>
      <w:r w:rsidR="00E54800">
        <w:rPr>
          <w:rFonts w:ascii="Times New Roman" w:hAnsi="Times New Roman"/>
          <w:sz w:val="24"/>
        </w:rPr>
        <w:t>детей-</w:t>
      </w:r>
      <w:r w:rsidR="00E54800">
        <w:rPr>
          <w:rFonts w:ascii="Times New Roman" w:hAnsi="Times New Roman"/>
          <w:sz w:val="24"/>
        </w:rPr>
        <w:lastRenderedPageBreak/>
        <w:t>инвалидов не менее 1 года</w:t>
      </w:r>
      <w:r w:rsidRPr="008B1B8E">
        <w:rPr>
          <w:rFonts w:ascii="Times New Roman" w:hAnsi="Times New Roman"/>
          <w:sz w:val="24"/>
        </w:rPr>
        <w:t xml:space="preserve"> с даты предоставления его Получателю</w:t>
      </w:r>
      <w:r w:rsidR="00EE2925">
        <w:rPr>
          <w:rFonts w:ascii="Times New Roman" w:hAnsi="Times New Roman"/>
          <w:sz w:val="24"/>
        </w:rPr>
        <w:t>.</w:t>
      </w:r>
    </w:p>
    <w:p w:rsidR="00B309F4" w:rsidRPr="00B40AF4" w:rsidRDefault="00DD7C5B" w:rsidP="00DB563D">
      <w:pPr>
        <w:ind w:firstLine="680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Срок выполнения работ </w:t>
      </w:r>
      <w:r w:rsidR="003A32A2">
        <w:rPr>
          <w:rFonts w:ascii="Times New Roman" w:hAnsi="Times New Roman"/>
          <w:sz w:val="24"/>
        </w:rPr>
        <w:t>п</w:t>
      </w:r>
      <w:r w:rsidRPr="00B309F4">
        <w:rPr>
          <w:rFonts w:ascii="Times New Roman" w:hAnsi="Times New Roman"/>
          <w:sz w:val="24"/>
        </w:rPr>
        <w:t xml:space="preserve">о </w:t>
      </w:r>
      <w:r w:rsidRPr="00950E1F">
        <w:rPr>
          <w:rFonts w:ascii="Times New Roman" w:hAnsi="Times New Roman"/>
          <w:sz w:val="24"/>
        </w:rPr>
        <w:t>01</w:t>
      </w:r>
      <w:r w:rsidRPr="00B309F4">
        <w:rPr>
          <w:rFonts w:ascii="Times New Roman" w:hAnsi="Times New Roman"/>
          <w:sz w:val="24"/>
        </w:rPr>
        <w:t xml:space="preserve"> декабря 201</w:t>
      </w:r>
      <w:r w:rsidR="00E54800">
        <w:rPr>
          <w:rFonts w:ascii="Times New Roman" w:hAnsi="Times New Roman"/>
          <w:sz w:val="24"/>
        </w:rPr>
        <w:t>8</w:t>
      </w:r>
      <w:r w:rsidRPr="00B309F4">
        <w:rPr>
          <w:rFonts w:ascii="Times New Roman" w:hAnsi="Times New Roman"/>
          <w:sz w:val="24"/>
        </w:rPr>
        <w:t>г.</w:t>
      </w:r>
    </w:p>
    <w:p w:rsidR="00B309F4" w:rsidRDefault="008B18DE" w:rsidP="00DB563D">
      <w:pPr>
        <w:ind w:firstLine="708"/>
        <w:rPr>
          <w:rFonts w:ascii="Times New Roman" w:hAnsi="Times New Roman"/>
          <w:sz w:val="24"/>
        </w:rPr>
      </w:pPr>
      <w:r w:rsidRPr="00B40AF4">
        <w:rPr>
          <w:rFonts w:ascii="Times New Roman" w:hAnsi="Times New Roman"/>
          <w:sz w:val="24"/>
        </w:rPr>
        <w:t>Место выполнения работ:</w:t>
      </w:r>
      <w:r w:rsidR="005637E0" w:rsidRPr="00B40AF4">
        <w:rPr>
          <w:rFonts w:ascii="Times New Roman" w:hAnsi="Times New Roman"/>
          <w:sz w:val="24"/>
        </w:rPr>
        <w:t xml:space="preserve"> Российской Федерации,</w:t>
      </w:r>
      <w:r w:rsidR="00B309F4" w:rsidRPr="00B40AF4">
        <w:rPr>
          <w:rFonts w:ascii="Times New Roman" w:hAnsi="Times New Roman"/>
          <w:sz w:val="24"/>
        </w:rPr>
        <w:t xml:space="preserve"> по месту нахождения Исполнителя.</w:t>
      </w:r>
    </w:p>
    <w:p w:rsidR="00326CFE" w:rsidRPr="00DB563D" w:rsidRDefault="00326CFE" w:rsidP="00326CFE">
      <w:pPr>
        <w:tabs>
          <w:tab w:val="left" w:pos="9498"/>
        </w:tabs>
        <w:spacing w:line="100" w:lineRule="atLeast"/>
        <w:ind w:firstLine="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DB563D">
        <w:rPr>
          <w:rFonts w:ascii="Times New Roman" w:hAnsi="Times New Roman"/>
          <w:sz w:val="24"/>
        </w:rPr>
        <w:t>Место оформления заказа: по месту жительства Получателя (снятие мерок, снятие слепка). Доставка результатов работ осуществляется по заявлению Получателя почтой по Иркутской области или, по согласованию с Получателем, изделия выдаются по месту нахождения Исполнителя.</w:t>
      </w:r>
    </w:p>
    <w:p w:rsidR="00326CFE" w:rsidRPr="00B40AF4" w:rsidRDefault="00326CFE" w:rsidP="00B309F4">
      <w:pPr>
        <w:rPr>
          <w:rFonts w:ascii="Times New Roman" w:hAnsi="Times New Roman"/>
          <w:sz w:val="24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</w:p>
    <w:p w:rsidR="003A32A2" w:rsidRDefault="003A32A2" w:rsidP="000A420F">
      <w:pPr>
        <w:rPr>
          <w:rFonts w:ascii="Times New Roman" w:hAnsi="Times New Roman"/>
          <w:sz w:val="28"/>
          <w:szCs w:val="28"/>
        </w:rPr>
      </w:pPr>
    </w:p>
    <w:p w:rsidR="003A32A2" w:rsidRDefault="003A32A2" w:rsidP="000A420F">
      <w:pPr>
        <w:rPr>
          <w:rFonts w:ascii="Times New Roman" w:hAnsi="Times New Roman"/>
          <w:sz w:val="28"/>
          <w:szCs w:val="28"/>
        </w:rPr>
      </w:pPr>
    </w:p>
    <w:p w:rsidR="003A32A2" w:rsidRDefault="003A32A2" w:rsidP="000A420F">
      <w:pPr>
        <w:rPr>
          <w:rFonts w:ascii="Times New Roman" w:hAnsi="Times New Roman"/>
          <w:sz w:val="28"/>
          <w:szCs w:val="28"/>
        </w:rPr>
      </w:pPr>
    </w:p>
    <w:p w:rsidR="003A32A2" w:rsidRDefault="003A32A2" w:rsidP="000A420F">
      <w:pPr>
        <w:rPr>
          <w:rFonts w:ascii="Times New Roman" w:hAnsi="Times New Roman"/>
          <w:sz w:val="28"/>
          <w:szCs w:val="28"/>
        </w:rPr>
      </w:pPr>
    </w:p>
    <w:p w:rsidR="003A32A2" w:rsidRDefault="003A32A2" w:rsidP="000A420F">
      <w:pPr>
        <w:rPr>
          <w:rFonts w:ascii="Times New Roman" w:hAnsi="Times New Roman"/>
          <w:sz w:val="28"/>
          <w:szCs w:val="28"/>
        </w:rPr>
      </w:pPr>
    </w:p>
    <w:p w:rsidR="003A32A2" w:rsidRDefault="003A32A2" w:rsidP="000A420F">
      <w:pPr>
        <w:rPr>
          <w:rFonts w:ascii="Times New Roman" w:hAnsi="Times New Roman"/>
          <w:sz w:val="28"/>
          <w:szCs w:val="28"/>
        </w:rPr>
      </w:pPr>
    </w:p>
    <w:p w:rsidR="00722F7C" w:rsidRDefault="00722F7C" w:rsidP="000A420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22F7C" w:rsidSect="00DB563D">
      <w:pgSz w:w="11906" w:h="16838"/>
      <w:pgMar w:top="851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4"/>
    <w:rsid w:val="00003292"/>
    <w:rsid w:val="000556A8"/>
    <w:rsid w:val="000A420F"/>
    <w:rsid w:val="000F485B"/>
    <w:rsid w:val="0016506B"/>
    <w:rsid w:val="00173DEB"/>
    <w:rsid w:val="001C3D7B"/>
    <w:rsid w:val="00221EAF"/>
    <w:rsid w:val="00225D10"/>
    <w:rsid w:val="002330C8"/>
    <w:rsid w:val="0025057B"/>
    <w:rsid w:val="00277D71"/>
    <w:rsid w:val="0029504F"/>
    <w:rsid w:val="002D23D9"/>
    <w:rsid w:val="003065A8"/>
    <w:rsid w:val="00326CFE"/>
    <w:rsid w:val="00386A70"/>
    <w:rsid w:val="003A32A2"/>
    <w:rsid w:val="00414261"/>
    <w:rsid w:val="004344F2"/>
    <w:rsid w:val="00454538"/>
    <w:rsid w:val="004C753F"/>
    <w:rsid w:val="004D4C27"/>
    <w:rsid w:val="004E6869"/>
    <w:rsid w:val="005244EB"/>
    <w:rsid w:val="005637E0"/>
    <w:rsid w:val="005649DB"/>
    <w:rsid w:val="00567E43"/>
    <w:rsid w:val="00597503"/>
    <w:rsid w:val="005B47D9"/>
    <w:rsid w:val="005B7CE2"/>
    <w:rsid w:val="005C0D92"/>
    <w:rsid w:val="005F1A2F"/>
    <w:rsid w:val="005F708B"/>
    <w:rsid w:val="00625A5E"/>
    <w:rsid w:val="00632B5E"/>
    <w:rsid w:val="00633F81"/>
    <w:rsid w:val="00694FE7"/>
    <w:rsid w:val="006C5CE4"/>
    <w:rsid w:val="00722F7C"/>
    <w:rsid w:val="00732BEA"/>
    <w:rsid w:val="00742AC3"/>
    <w:rsid w:val="007D4A1A"/>
    <w:rsid w:val="0081043A"/>
    <w:rsid w:val="00871759"/>
    <w:rsid w:val="008A3530"/>
    <w:rsid w:val="008B1193"/>
    <w:rsid w:val="008B18DE"/>
    <w:rsid w:val="008D1913"/>
    <w:rsid w:val="009A3DF6"/>
    <w:rsid w:val="009A5B2E"/>
    <w:rsid w:val="009F2BE6"/>
    <w:rsid w:val="00A2350B"/>
    <w:rsid w:val="00A26B42"/>
    <w:rsid w:val="00AD1AC3"/>
    <w:rsid w:val="00AE4CA3"/>
    <w:rsid w:val="00B05159"/>
    <w:rsid w:val="00B309F4"/>
    <w:rsid w:val="00B40AF4"/>
    <w:rsid w:val="00B43509"/>
    <w:rsid w:val="00B46EFF"/>
    <w:rsid w:val="00B843AA"/>
    <w:rsid w:val="00B875A1"/>
    <w:rsid w:val="00BC1BFA"/>
    <w:rsid w:val="00BC741D"/>
    <w:rsid w:val="00C349E9"/>
    <w:rsid w:val="00C371C2"/>
    <w:rsid w:val="00C509A8"/>
    <w:rsid w:val="00C87605"/>
    <w:rsid w:val="00DB563D"/>
    <w:rsid w:val="00DD7C5B"/>
    <w:rsid w:val="00DF7573"/>
    <w:rsid w:val="00E54800"/>
    <w:rsid w:val="00E7353F"/>
    <w:rsid w:val="00E840ED"/>
    <w:rsid w:val="00EE089C"/>
    <w:rsid w:val="00EE2925"/>
    <w:rsid w:val="00EF0102"/>
    <w:rsid w:val="00F00F48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89970-FAB7-4198-8409-F0388BC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2A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2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09F4"/>
    <w:pPr>
      <w:suppressLineNumbers/>
    </w:pPr>
  </w:style>
  <w:style w:type="paragraph" w:styleId="a4">
    <w:name w:val="Body Text"/>
    <w:basedOn w:val="a"/>
    <w:link w:val="a5"/>
    <w:unhideWhenUsed/>
    <w:rsid w:val="008B18DE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8B18D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7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71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A32A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32A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a8">
    <w:name w:val="Заголовок таблицы"/>
    <w:basedOn w:val="a3"/>
    <w:rsid w:val="003A32A2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customStyle="1" w:styleId="9">
    <w:name w:val="Знак Знак9"/>
    <w:basedOn w:val="a"/>
    <w:rsid w:val="003A32A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3A32A2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A32A2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paragraph" w:styleId="a9">
    <w:name w:val="List Paragraph"/>
    <w:basedOn w:val="a"/>
    <w:uiPriority w:val="34"/>
    <w:qFormat/>
    <w:rsid w:val="003A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B2B3-4750-4CB9-B5F4-737F0C4C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5</cp:revision>
  <cp:lastPrinted>2018-07-18T03:59:00Z</cp:lastPrinted>
  <dcterms:created xsi:type="dcterms:W3CDTF">2018-07-27T05:52:00Z</dcterms:created>
  <dcterms:modified xsi:type="dcterms:W3CDTF">2018-07-27T05:55:00Z</dcterms:modified>
</cp:coreProperties>
</file>