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16" w:rsidRPr="00F24ACF" w:rsidRDefault="008D1716" w:rsidP="008D1716">
      <w:pPr>
        <w:jc w:val="center"/>
        <w:rPr>
          <w:b/>
          <w:sz w:val="28"/>
          <w:szCs w:val="28"/>
        </w:rPr>
      </w:pPr>
      <w:r w:rsidRPr="00F24ACF">
        <w:rPr>
          <w:b/>
          <w:sz w:val="28"/>
          <w:szCs w:val="28"/>
        </w:rPr>
        <w:t xml:space="preserve">Техническое задание </w:t>
      </w:r>
    </w:p>
    <w:p w:rsidR="008D1716" w:rsidRPr="004932D3" w:rsidRDefault="008D1716" w:rsidP="008D171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к проведению электронного аукциона на </w:t>
      </w:r>
      <w:r>
        <w:rPr>
          <w:b/>
          <w:sz w:val="28"/>
          <w:szCs w:val="28"/>
          <w:lang w:eastAsia="ru-RU"/>
        </w:rPr>
        <w:t>в</w:t>
      </w:r>
      <w:r w:rsidRPr="004932D3">
        <w:rPr>
          <w:b/>
          <w:sz w:val="28"/>
          <w:szCs w:val="28"/>
          <w:lang w:eastAsia="ru-RU"/>
        </w:rPr>
        <w:t xml:space="preserve">ыполнение работ </w:t>
      </w:r>
      <w:r w:rsidRPr="00C6751D">
        <w:rPr>
          <w:b/>
          <w:sz w:val="28"/>
          <w:szCs w:val="28"/>
        </w:rPr>
        <w:t>по изготовлению протезно-ортопедических изделий – протезов нижних конечностей для обеспечения им</w:t>
      </w:r>
      <w:r>
        <w:rPr>
          <w:b/>
          <w:sz w:val="28"/>
          <w:szCs w:val="28"/>
        </w:rPr>
        <w:t>и</w:t>
      </w:r>
      <w:bookmarkStart w:id="0" w:name="_GoBack"/>
      <w:bookmarkEnd w:id="0"/>
      <w:r w:rsidRPr="00C6751D">
        <w:rPr>
          <w:b/>
          <w:sz w:val="28"/>
          <w:szCs w:val="28"/>
        </w:rPr>
        <w:t xml:space="preserve"> в 2018 году инвалидов</w:t>
      </w:r>
    </w:p>
    <w:tbl>
      <w:tblPr>
        <w:tblW w:w="10308" w:type="dxa"/>
        <w:jc w:val="center"/>
        <w:tblInd w:w="-5774" w:type="dxa"/>
        <w:tblLayout w:type="fixed"/>
        <w:tblLook w:val="0000" w:firstRow="0" w:lastRow="0" w:firstColumn="0" w:lastColumn="0" w:noHBand="0" w:noVBand="0"/>
      </w:tblPr>
      <w:tblGrid>
        <w:gridCol w:w="1378"/>
        <w:gridCol w:w="5560"/>
        <w:gridCol w:w="846"/>
        <w:gridCol w:w="1134"/>
        <w:gridCol w:w="1390"/>
      </w:tblGrid>
      <w:tr w:rsidR="008D1716" w:rsidRPr="00DB5E67" w:rsidTr="009F506D">
        <w:trPr>
          <w:trHeight w:val="829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E6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E67">
              <w:rPr>
                <w:b/>
                <w:sz w:val="20"/>
                <w:szCs w:val="20"/>
              </w:rPr>
              <w:t>Описание функциональных и технических характеристик Изделия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8D1716" w:rsidRPr="00DB5E67" w:rsidTr="009F506D">
        <w:trPr>
          <w:trHeight w:val="829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 xml:space="preserve">Протез бедра модульный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 или из листового поролона (в зависимости от индивидуальной конструкции протеза). Косметическое покрытие облицовки должно представлять собой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должна быть индивидуальная. Должно быть две сменные гильзы. Материал индивидуальной постоянной гильзы должен быть: литьевой слоистый пластик на основе акриловых смол (при необходимости гильза должна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усиливатсья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 или листовой термопластичный пластик, или карбон (тип и материал гильзы должен определяться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должна изготавливаться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Для некоторых пациентов по медицинским показаниям в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культеприемник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должна  изготавливаться вкладная гильза из вспененных материалов. Крепление протеза должно быть поясное, с использованием бандажа или кожаных полуфабрикатов без шин или вакуумное (метод крепления протеза зависит от индивидуальных особенностей пациента). Регулировочно-соединительные устройства и другие комплектующие протеза должны соответствовать весу инвалида.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Модули, узлы и РСУ, применяемые при комплектации протеза, должны быть алюминиевыми, стальными или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Модуль стопы для пациентов 1-2 уровня активности может быть следующих моделей: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B5E67">
              <w:rPr>
                <w:color w:val="000000"/>
                <w:sz w:val="20"/>
                <w:szCs w:val="20"/>
              </w:rPr>
              <w:t>-стопа  с повышенной упругостью в носочной или пяточной частях;</w:t>
            </w:r>
            <w:proofErr w:type="gramEnd"/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многоосевым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-стопа шарнирная полиуретановая монолитная в комплекте с модульной щиколоткой,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стопа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облегченная для пожилых,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 или любая другая стопа для пациентов 1-2 уровня активности.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Коленный модуль механического принципа действия может быть следующих моделей: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замком;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тормозным механизмом,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фиксатором и толкателем,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lastRenderedPageBreak/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полицентрический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со встроенным толкателем,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независимым механическим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DB5E6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>егулированием фаз сгибания-разгибания,</w:t>
            </w:r>
          </w:p>
          <w:p w:rsidR="008D1716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зависимым механическим  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 -регулированием фаз сгибания-разгибания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B5E67">
              <w:rPr>
                <w:color w:val="000000"/>
                <w:sz w:val="20"/>
                <w:szCs w:val="20"/>
              </w:rPr>
              <w:t>или любой другой коленный модуль механического принципа действия.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Тип протеза должен быть постоянный </w:t>
            </w:r>
          </w:p>
          <w:p w:rsidR="008D1716" w:rsidRPr="00DB5E67" w:rsidRDefault="008D1716" w:rsidP="009F506D">
            <w:pPr>
              <w:rPr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Должен быть с четырьмя чехлами на культю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EA6A88" w:rsidRDefault="008D1716" w:rsidP="009F50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104 902,67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EA6A88" w:rsidRDefault="008D1716" w:rsidP="009F50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2 098 053.40</w:t>
            </w:r>
          </w:p>
        </w:tc>
      </w:tr>
      <w:tr w:rsidR="008D1716" w:rsidRPr="00DB5E67" w:rsidTr="009F506D">
        <w:trPr>
          <w:trHeight w:val="186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lastRenderedPageBreak/>
              <w:t>Протез бедра лечебно-тренировочный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бедра </w:t>
            </w:r>
            <w:r w:rsidRPr="00DB5E67">
              <w:rPr>
                <w:sz w:val="20"/>
                <w:szCs w:val="20"/>
              </w:rPr>
              <w:t>лечебно-тренировочный</w:t>
            </w:r>
            <w:r w:rsidRPr="00DB5E67">
              <w:rPr>
                <w:color w:val="000000"/>
                <w:sz w:val="20"/>
                <w:szCs w:val="20"/>
              </w:rPr>
              <w:t xml:space="preserve">. Формообразующая часть косметической облицовки должна быть модульная мягкая полиуретановая или из листового поролона (в зависимости от индивидуальной конструкции протеза). Косметическое покрытие облицовки должно представлять собой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должна быть индивидуальная. Должно быть две сменные гильзы. Материал индивидуальной постоянной гильзы должен быть: литьевой слоистый пластик на основе акриловых смол (при необходимости гильза должна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усиливатсья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 или листовой термопластичный пластик, или карбон (тип и материал гильзы должен определяться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должна изготавливаться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Для некоторых пациентов по медицинским показаниям в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культеприемник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должна  изготавливаться вкладная гильза из вспененных материалов. Крепление протеза должно быть поясное, с использованием бандажа или кожаных полуфабрикатов без шин или вакуумное (метод крепления протеза зависит от индивидуальных особенностей пациента). Регулировочно-соединительные устройства и другие комплектующие протеза должны соответствовать весу инвалида.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Модули, узлы и РСУ, применяемые при комплектации протеза, должны быть алюминиевыми, стальными или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Модуль стопы для пациентов 1-2 уровня активности может быть следующих моделей: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B5E67">
              <w:rPr>
                <w:color w:val="000000"/>
                <w:sz w:val="20"/>
                <w:szCs w:val="20"/>
              </w:rPr>
              <w:t>-стопа  с повышенной упругостью в носочной или пяточной частях;</w:t>
            </w:r>
            <w:proofErr w:type="gramEnd"/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многоосевым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-стопа шарнирная полиуретановая монолитная в комплекте с модульной щиколоткой,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стопа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облегченная для пожилых,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B5E67">
              <w:rPr>
                <w:color w:val="000000"/>
                <w:sz w:val="20"/>
                <w:szCs w:val="20"/>
              </w:rPr>
              <w:t xml:space="preserve">или любая другая стопа для пациентов 1-2 уровня активности.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Коленный модуль механического принципа действия может быть следующих моделей: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lastRenderedPageBreak/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замком;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тормозным механизмом,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фиксатором и толкателем,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полицентрический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со встроенным толкателем,</w:t>
            </w:r>
          </w:p>
          <w:p w:rsidR="008D1716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независимым механическим         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-регулированием фаз сгибания-разгибания,</w:t>
            </w:r>
          </w:p>
          <w:p w:rsidR="008D1716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зависимым механическим             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 -регулированием фаз сгибания-разгибания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B5E67">
              <w:rPr>
                <w:color w:val="000000"/>
                <w:sz w:val="20"/>
                <w:szCs w:val="20"/>
              </w:rPr>
              <w:t>или любой другой коленный модуль механического принципа действия.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8D1716" w:rsidRPr="00DB5E67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Тип протеза должен быть лечебно-тренировочный. </w:t>
            </w:r>
          </w:p>
          <w:p w:rsidR="008D1716" w:rsidRPr="00DB5E67" w:rsidRDefault="008D1716" w:rsidP="009F506D">
            <w:pPr>
              <w:rPr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Должен быть с четырьмя чехлами на культю.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EA6A88" w:rsidRDefault="008D1716" w:rsidP="009F50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101 520,00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EA6A88" w:rsidRDefault="008D1716" w:rsidP="009F506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1 522 800.00</w:t>
            </w:r>
          </w:p>
        </w:tc>
      </w:tr>
      <w:tr w:rsidR="008D1716" w:rsidRPr="00DB5E67" w:rsidTr="009F506D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lastRenderedPageBreak/>
              <w:t>Протез голени</w:t>
            </w:r>
            <w:r w:rsidRPr="00DB5E67">
              <w:rPr>
                <w:color w:val="000000"/>
                <w:sz w:val="20"/>
                <w:szCs w:val="20"/>
              </w:rPr>
              <w:br/>
              <w:t>лечебно-тренировочный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Default="008D1716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голени лечебно-тренировочный без силиконового чехла. Формообразующая часть косметической облицовки - модульная мягкая полиуретановая или листовой поролон (в зависимости от индивидуальной конструкции протеза). Косметическое покрытие облицовки -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индивидуальная, для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лечебно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тренировочных протезов – две сменные гильзы. Материал индивидуальной постоянной гильзы: литьевой слоистый пластик на основе акриловых смол (допускается усиление гильзы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(карбоном)), листовой термопластичный пластик, карбон (тип и материал гильзы определяется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изготавливается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Допускается применение вкладной гильзы из вспененных материалов или без неё (в зависимости от индивидуальных особенностей пациента). Допускается изготовление кожаной гильзы с шинами, с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переходным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РСУ под модульные комплектующие. 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 w:rsidRPr="00142ABA">
              <w:rPr>
                <w:sz w:val="20"/>
                <w:szCs w:val="20"/>
              </w:rPr>
              <w:t xml:space="preserve">Модуль стопы для пациентов 1-2 уровня активности: 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42ABA">
              <w:rPr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42ABA">
              <w:rPr>
                <w:sz w:val="20"/>
                <w:szCs w:val="20"/>
              </w:rPr>
              <w:t>или стопа с повышенной упругостью в носочной или пяточной частях;</w:t>
            </w:r>
            <w:proofErr w:type="gramEnd"/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  <w:r w:rsidRPr="00142ABA">
              <w:rPr>
                <w:sz w:val="20"/>
                <w:szCs w:val="20"/>
              </w:rPr>
              <w:t xml:space="preserve">или стопа с </w:t>
            </w:r>
            <w:proofErr w:type="spellStart"/>
            <w:r w:rsidRPr="00142ABA">
              <w:rPr>
                <w:sz w:val="20"/>
                <w:szCs w:val="20"/>
              </w:rPr>
              <w:t>многоосевым</w:t>
            </w:r>
            <w:proofErr w:type="spellEnd"/>
            <w:r w:rsidRPr="00142ABA">
              <w:rPr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  <w:r w:rsidRPr="00142ABA">
              <w:rPr>
                <w:sz w:val="20"/>
                <w:szCs w:val="20"/>
              </w:rPr>
              <w:t>или стопа шарнирная полиуретановая монолитная в комплекте с модульной щиколоткой,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142ABA">
              <w:rPr>
                <w:sz w:val="20"/>
                <w:szCs w:val="20"/>
              </w:rPr>
              <w:t xml:space="preserve">или </w:t>
            </w:r>
            <w:proofErr w:type="gramStart"/>
            <w:r w:rsidRPr="00142ABA">
              <w:rPr>
                <w:sz w:val="20"/>
                <w:szCs w:val="20"/>
              </w:rPr>
              <w:t>стопа</w:t>
            </w:r>
            <w:proofErr w:type="gramEnd"/>
            <w:r w:rsidRPr="00142ABA">
              <w:rPr>
                <w:sz w:val="20"/>
                <w:szCs w:val="20"/>
              </w:rPr>
              <w:t xml:space="preserve"> облегченная для пожилых,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  <w:r w:rsidRPr="00142ABA">
              <w:rPr>
                <w:sz w:val="20"/>
                <w:szCs w:val="20"/>
              </w:rPr>
              <w:t xml:space="preserve">или любая другая стопа для пациентов 1-2 уровня активности. 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 w:rsidRPr="00142ABA">
              <w:rPr>
                <w:sz w:val="20"/>
                <w:szCs w:val="20"/>
              </w:rPr>
              <w:t>Модель применяемого в протезировании модуля стопы обуславливается индивидуальными показаниями к протезированию для конкретного пациента.</w:t>
            </w:r>
          </w:p>
          <w:p w:rsidR="008D1716" w:rsidRPr="00DB5E67" w:rsidRDefault="008D1716" w:rsidP="009F506D">
            <w:pPr>
              <w:spacing w:after="240"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Протез должен быть с четырьмя чехлами на культю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jc w:val="center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82 023,00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410 115,00</w:t>
            </w:r>
          </w:p>
        </w:tc>
      </w:tr>
      <w:tr w:rsidR="008D1716" w:rsidRPr="00DB5E67" w:rsidTr="009F506D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DB5E67" w:rsidRDefault="008D1716" w:rsidP="009F506D">
            <w:pPr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Протез голени модульный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листовой поролон (в зависимости от индивидуальной конструкции протеза). Косметическое покрытие облицовки -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индивидуальная, для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лечебно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тренировочных протезов – две сменные гильзы. Материал индивидуальной постоянной гильзы: литьевой слоистый </w:t>
            </w:r>
            <w:r w:rsidRPr="00DB5E67">
              <w:rPr>
                <w:color w:val="000000"/>
                <w:sz w:val="20"/>
                <w:szCs w:val="20"/>
              </w:rPr>
              <w:lastRenderedPageBreak/>
              <w:t xml:space="preserve">пластик на основе акриловых смол (допускается усиление гильзы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(карбоном)), листовой термопластичный пластик, карбон (тип и материал гильзы определяется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изготавливается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Допускается применение вкладной гильзы из вспененных материалов или без неё (в зависимости от индивидуальных особенностей пациента). Допускается изготовление кожаной гильзы с шинами, с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переходным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РСУ под модульные комплектующие. </w:t>
            </w:r>
            <w:r w:rsidRPr="00142ABA">
              <w:rPr>
                <w:sz w:val="20"/>
                <w:szCs w:val="20"/>
              </w:rPr>
              <w:t xml:space="preserve">Модуль стопы для пациентов 1-2 уровня активности: 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42ABA">
              <w:rPr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42ABA">
              <w:rPr>
                <w:sz w:val="20"/>
                <w:szCs w:val="20"/>
              </w:rPr>
              <w:t>или стопа с повышенной упругостью в носочной или пяточной частях;</w:t>
            </w:r>
            <w:proofErr w:type="gramEnd"/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42ABA">
              <w:rPr>
                <w:sz w:val="20"/>
                <w:szCs w:val="20"/>
              </w:rPr>
              <w:t xml:space="preserve">или стопа с </w:t>
            </w:r>
            <w:proofErr w:type="spellStart"/>
            <w:r w:rsidRPr="00142ABA">
              <w:rPr>
                <w:sz w:val="20"/>
                <w:szCs w:val="20"/>
              </w:rPr>
              <w:t>многоосевым</w:t>
            </w:r>
            <w:proofErr w:type="spellEnd"/>
            <w:r w:rsidRPr="00142ABA">
              <w:rPr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Pr="00142ABA">
              <w:rPr>
                <w:sz w:val="20"/>
                <w:szCs w:val="20"/>
              </w:rPr>
              <w:t>или стопа шарнирная полиуретановая монолитная в комплекте с модульной щиколоткой,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Pr="00142ABA">
              <w:rPr>
                <w:sz w:val="20"/>
                <w:szCs w:val="20"/>
              </w:rPr>
              <w:t xml:space="preserve">или </w:t>
            </w:r>
            <w:proofErr w:type="gramStart"/>
            <w:r w:rsidRPr="00142ABA">
              <w:rPr>
                <w:sz w:val="20"/>
                <w:szCs w:val="20"/>
              </w:rPr>
              <w:t>стопа</w:t>
            </w:r>
            <w:proofErr w:type="gramEnd"/>
            <w:r w:rsidRPr="00142ABA">
              <w:rPr>
                <w:sz w:val="20"/>
                <w:szCs w:val="20"/>
              </w:rPr>
              <w:t xml:space="preserve"> облегченная для пожилых,</w:t>
            </w:r>
          </w:p>
          <w:p w:rsidR="008D1716" w:rsidRPr="00142ABA" w:rsidRDefault="008D1716" w:rsidP="009F506D">
            <w:pPr>
              <w:tabs>
                <w:tab w:val="left" w:pos="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42ABA">
              <w:rPr>
                <w:sz w:val="20"/>
                <w:szCs w:val="20"/>
              </w:rPr>
              <w:t xml:space="preserve">или любая другая стопа для пациентов 1-2 уровня активности. </w:t>
            </w:r>
          </w:p>
          <w:p w:rsidR="008D1716" w:rsidRPr="00142ABA" w:rsidRDefault="008D1716" w:rsidP="009F506D">
            <w:pPr>
              <w:jc w:val="both"/>
              <w:rPr>
                <w:sz w:val="20"/>
                <w:szCs w:val="20"/>
              </w:rPr>
            </w:pPr>
            <w:r w:rsidRPr="00142ABA">
              <w:rPr>
                <w:sz w:val="20"/>
                <w:szCs w:val="20"/>
              </w:rPr>
              <w:t>Модель применяемого в протезировании модуля стопы обуславливается индивидуальными показаниями к протезированию для конкретного пациента.</w:t>
            </w:r>
          </w:p>
          <w:p w:rsidR="008D1716" w:rsidRPr="00DB5E67" w:rsidRDefault="008D1716" w:rsidP="009F506D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Протез должен быть с четырьмя чехлами на культю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16" w:rsidRPr="00EA6A88" w:rsidRDefault="008D1716" w:rsidP="009F50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98 300,00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16" w:rsidRPr="00DB5E67" w:rsidRDefault="008D1716" w:rsidP="009F5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966 000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8D1716" w:rsidRDefault="008D1716" w:rsidP="008D1716">
      <w:pPr>
        <w:widowControl w:val="0"/>
        <w:suppressAutoHyphens w:val="0"/>
        <w:spacing w:line="340" w:lineRule="exact"/>
        <w:rPr>
          <w:sz w:val="28"/>
          <w:szCs w:val="28"/>
        </w:rPr>
      </w:pPr>
    </w:p>
    <w:p w:rsidR="008D1716" w:rsidRPr="00BD5646" w:rsidRDefault="008D1716" w:rsidP="008D1716">
      <w:pPr>
        <w:widowControl w:val="0"/>
        <w:suppressAutoHyphens w:val="0"/>
        <w:spacing w:line="340" w:lineRule="exact"/>
        <w:rPr>
          <w:sz w:val="28"/>
          <w:szCs w:val="28"/>
        </w:rPr>
      </w:pPr>
      <w:r w:rsidRPr="00C204D6">
        <w:rPr>
          <w:sz w:val="28"/>
          <w:szCs w:val="28"/>
        </w:rPr>
        <w:t xml:space="preserve">Количество -   </w:t>
      </w:r>
      <w:r w:rsidRPr="008D1716">
        <w:rPr>
          <w:sz w:val="28"/>
          <w:szCs w:val="28"/>
        </w:rPr>
        <w:t>60</w:t>
      </w:r>
      <w:r w:rsidRPr="00BD5646">
        <w:rPr>
          <w:sz w:val="28"/>
          <w:szCs w:val="28"/>
        </w:rPr>
        <w:t xml:space="preserve"> шт. </w:t>
      </w:r>
    </w:p>
    <w:p w:rsidR="008D1716" w:rsidRDefault="008D1716" w:rsidP="008D1716">
      <w:pPr>
        <w:widowControl w:val="0"/>
        <w:suppressAutoHyphens w:val="0"/>
        <w:spacing w:line="340" w:lineRule="exact"/>
        <w:rPr>
          <w:sz w:val="28"/>
          <w:szCs w:val="28"/>
        </w:rPr>
      </w:pPr>
      <w:r w:rsidRPr="00BD5646">
        <w:rPr>
          <w:sz w:val="28"/>
          <w:szCs w:val="28"/>
        </w:rPr>
        <w:t>Начальная (максимальная) цена – </w:t>
      </w:r>
      <w:r w:rsidRPr="00EA6A8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EA6A88">
        <w:rPr>
          <w:sz w:val="28"/>
          <w:szCs w:val="28"/>
        </w:rPr>
        <w:t>996 968</w:t>
      </w:r>
      <w:r w:rsidRPr="00BD564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5646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BD564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BD5646">
        <w:rPr>
          <w:sz w:val="28"/>
          <w:szCs w:val="28"/>
        </w:rPr>
        <w:t>.</w:t>
      </w:r>
    </w:p>
    <w:p w:rsidR="008D1716" w:rsidRDefault="008D1716" w:rsidP="008D1716">
      <w:pPr>
        <w:widowControl w:val="0"/>
        <w:suppressAutoHyphens w:val="0"/>
        <w:spacing w:line="340" w:lineRule="exact"/>
        <w:rPr>
          <w:sz w:val="28"/>
          <w:szCs w:val="28"/>
        </w:rPr>
      </w:pPr>
    </w:p>
    <w:p w:rsidR="008D1716" w:rsidRPr="00777122" w:rsidRDefault="008D1716" w:rsidP="008D1716">
      <w:pPr>
        <w:keepNext/>
        <w:spacing w:line="360" w:lineRule="exact"/>
        <w:jc w:val="center"/>
        <w:rPr>
          <w:b/>
          <w:sz w:val="28"/>
          <w:szCs w:val="28"/>
        </w:rPr>
      </w:pPr>
      <w:r w:rsidRPr="00777122">
        <w:rPr>
          <w:b/>
          <w:sz w:val="28"/>
          <w:szCs w:val="28"/>
        </w:rPr>
        <w:t>Требования к качеству работ</w:t>
      </w:r>
    </w:p>
    <w:p w:rsidR="008D1716" w:rsidRDefault="008D1716" w:rsidP="008D1716">
      <w:pPr>
        <w:widowControl w:val="0"/>
        <w:suppressAutoHyphens w:val="0"/>
        <w:spacing w:line="360" w:lineRule="exact"/>
        <w:ind w:left="17" w:firstLine="357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Протез</w:t>
      </w:r>
      <w:r>
        <w:rPr>
          <w:sz w:val="28"/>
          <w:szCs w:val="28"/>
        </w:rPr>
        <w:t xml:space="preserve"> нижней </w:t>
      </w:r>
      <w:r w:rsidRPr="00DA5E68">
        <w:rPr>
          <w:sz w:val="28"/>
          <w:szCs w:val="28"/>
        </w:rPr>
        <w:t>конечност</w:t>
      </w:r>
      <w:r>
        <w:rPr>
          <w:sz w:val="28"/>
          <w:szCs w:val="28"/>
        </w:rPr>
        <w:t>и</w:t>
      </w:r>
      <w:r w:rsidRPr="00DA5E68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DA5E68">
        <w:rPr>
          <w:sz w:val="28"/>
          <w:szCs w:val="28"/>
        </w:rPr>
        <w:t>н соответствовать требованиям Государственного стандарта Россий</w:t>
      </w:r>
      <w:r>
        <w:rPr>
          <w:sz w:val="28"/>
          <w:szCs w:val="28"/>
        </w:rPr>
        <w:t xml:space="preserve">ской Федерации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51632-2014</w:t>
      </w:r>
      <w:r w:rsidRPr="00DA5E68">
        <w:rPr>
          <w:sz w:val="28"/>
          <w:szCs w:val="28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57765-2017</w:t>
      </w:r>
      <w:r w:rsidRPr="00DA5E68">
        <w:rPr>
          <w:sz w:val="28"/>
          <w:szCs w:val="28"/>
        </w:rPr>
        <w:t xml:space="preserve">  «Изделия протезно-ортопедические. Общие технические требования».</w:t>
      </w:r>
    </w:p>
    <w:p w:rsidR="00BB16A4" w:rsidRDefault="00BB16A4"/>
    <w:sectPr w:rsidR="00BB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6"/>
    <w:rsid w:val="008D1716"/>
    <w:rsid w:val="00BB16A4"/>
    <w:rsid w:val="00C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1</cp:revision>
  <dcterms:created xsi:type="dcterms:W3CDTF">2018-08-06T13:04:00Z</dcterms:created>
  <dcterms:modified xsi:type="dcterms:W3CDTF">2018-08-06T13:04:00Z</dcterms:modified>
</cp:coreProperties>
</file>