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1" w:rsidRPr="003A48B2" w:rsidRDefault="00B15A01" w:rsidP="00B15A01">
      <w:pPr>
        <w:pStyle w:val="a3"/>
        <w:keepNext/>
        <w:autoSpaceDE w:val="0"/>
        <w:spacing w:after="0"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  <w:t>Описание объекта закупки</w:t>
      </w: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 xml:space="preserve">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B15A01" w:rsidRDefault="00B15A01" w:rsidP="00B15A01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15A01" w:rsidRPr="0076389A" w:rsidRDefault="00B15A01" w:rsidP="00B15A01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>
        <w:t xml:space="preserve">, </w:t>
      </w:r>
      <w:r w:rsidRPr="0076389A">
        <w:rPr>
          <w:spacing w:val="1"/>
        </w:rPr>
        <w:t xml:space="preserve">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>
        <w:t xml:space="preserve">должны </w:t>
      </w:r>
      <w:r w:rsidRPr="00CE0BB1">
        <w:t>состоят</w:t>
      </w:r>
      <w:r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gramStart"/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(для втянутых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адгезивными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</w:t>
      </w:r>
      <w:proofErr w:type="gramEnd"/>
      <w:r w:rsidRPr="00CE0BB1">
        <w:t xml:space="preserve">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B15A01" w:rsidRDefault="00B15A01" w:rsidP="00B15A01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lastRenderedPageBreak/>
        <w:t>- страну-изготовителя;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B15A01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ind w:left="0" w:firstLine="680"/>
        <w:jc w:val="both"/>
      </w:pPr>
      <w:r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5A01" w:rsidRPr="00CE0BB1" w:rsidRDefault="00B15A01" w:rsidP="00B15A01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B15A01" w:rsidRPr="002253B3" w:rsidRDefault="00B15A01" w:rsidP="00B15A01">
      <w:pPr>
        <w:keepNext/>
        <w:ind w:firstLine="735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EB60C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B15A01" w:rsidRPr="00CE0BB1" w:rsidRDefault="00B15A01" w:rsidP="00B15A01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B15A01" w:rsidRPr="00942E50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B15A01" w:rsidRDefault="00B15A01" w:rsidP="00B15A01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  <w:gridCol w:w="993"/>
      </w:tblGrid>
      <w:tr w:rsidR="00B15A01" w:rsidRPr="00BB6218" w:rsidTr="00AC0175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222807" w:rsidRPr="00E03576" w:rsidTr="00222807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адгезивной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222807" w:rsidRPr="00770355" w:rsidRDefault="00222807" w:rsidP="00AC0175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20190</w:t>
            </w:r>
          </w:p>
        </w:tc>
      </w:tr>
      <w:tr w:rsidR="00222807" w:rsidRPr="00E03576" w:rsidTr="00222807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адгезивной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тельного цвета с другой стороны, без подложки  с обеих сторон.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32490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адгезивной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адгезивной пластиной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2460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адгезивной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4680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2259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адгезивная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1440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</w:t>
            </w:r>
            <w:r w:rsidRPr="00770355">
              <w:rPr>
                <w:sz w:val="21"/>
                <w:szCs w:val="21"/>
              </w:rPr>
              <w:lastRenderedPageBreak/>
              <w:t xml:space="preserve">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5493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4455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</w:t>
            </w:r>
            <w:proofErr w:type="spellEnd"/>
            <w:r w:rsidRPr="00770355">
              <w:rPr>
                <w:sz w:val="21"/>
                <w:szCs w:val="21"/>
              </w:rPr>
              <w:t>-изопрен-</w:t>
            </w:r>
            <w:proofErr w:type="spellStart"/>
            <w:r w:rsidRPr="00770355">
              <w:rPr>
                <w:sz w:val="21"/>
                <w:szCs w:val="21"/>
              </w:rPr>
              <w:t>стирен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«плавающим», отделяемым по окружности фланцевым кольцом, обеспечивающим введение пальцев между кольцом и пластиной для </w:t>
            </w:r>
            <w:r w:rsidRPr="00770355">
              <w:rPr>
                <w:sz w:val="21"/>
                <w:szCs w:val="21"/>
              </w:rPr>
              <w:lastRenderedPageBreak/>
              <w:t>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адгезивная овальная тисненой текстуры c двухслойным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гидроколлоидным </w:t>
            </w:r>
            <w:proofErr w:type="spellStart"/>
            <w:r w:rsidRPr="00770355">
              <w:rPr>
                <w:sz w:val="21"/>
                <w:szCs w:val="21"/>
              </w:rPr>
              <w:t>адгезивом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структуры, с креплениями для пояса, с защитным покрытием, с фланцем соответствующим фланцу мешка, вырезаемое отверстие не менее 10- не более 45 мм, фланец  50мм.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Адгезивная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gramStart"/>
            <w:r>
              <w:rPr>
                <w:sz w:val="22"/>
                <w:szCs w:val="22"/>
              </w:rPr>
              <w:t>компонентного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Адгезивная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gramStart"/>
            <w:r>
              <w:rPr>
                <w:sz w:val="22"/>
                <w:szCs w:val="22"/>
              </w:rPr>
              <w:t>компонентного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0355">
              <w:rPr>
                <w:sz w:val="21"/>
                <w:szCs w:val="21"/>
              </w:rPr>
              <w:t xml:space="preserve">должна быть на основе натуральных материалов с </w:t>
            </w:r>
            <w:r w:rsidRPr="00770355">
              <w:rPr>
                <w:sz w:val="21"/>
                <w:szCs w:val="21"/>
              </w:rPr>
              <w:lastRenderedPageBreak/>
              <w:t xml:space="preserve">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  <w:r w:rsidRPr="00770355">
              <w:rPr>
                <w:sz w:val="21"/>
                <w:szCs w:val="21"/>
              </w:rPr>
              <w:t xml:space="preserve">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 легко адаптируется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590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-</w:t>
            </w:r>
            <w:r>
              <w:rPr>
                <w:sz w:val="21"/>
                <w:szCs w:val="21"/>
              </w:rPr>
              <w:t xml:space="preserve"> </w:t>
            </w:r>
            <w:r w:rsidRPr="00770355">
              <w:rPr>
                <w:sz w:val="21"/>
                <w:szCs w:val="21"/>
              </w:rPr>
              <w:t xml:space="preserve">не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  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должен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2181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8A4EED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</w:t>
            </w:r>
            <w:r w:rsidRPr="00770355">
              <w:rPr>
                <w:sz w:val="21"/>
                <w:szCs w:val="21"/>
              </w:rPr>
              <w:lastRenderedPageBreak/>
              <w:t>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1413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8A4EED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8A4EED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4056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Адгезивная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мешок</w:t>
            </w:r>
            <w:proofErr w:type="gram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7755</w:t>
            </w:r>
          </w:p>
        </w:tc>
      </w:tr>
      <w:tr w:rsidR="00222807" w:rsidRPr="00E03576" w:rsidTr="00222807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B2E4F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9849</w:t>
            </w:r>
          </w:p>
        </w:tc>
      </w:tr>
      <w:tr w:rsidR="00222807" w:rsidRPr="00E03576" w:rsidTr="00222807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адгезивной пластины должно быть не более 45 мм. Объем мешка должен </w:t>
            </w:r>
            <w:r w:rsidRPr="00770355">
              <w:rPr>
                <w:sz w:val="21"/>
                <w:szCs w:val="21"/>
              </w:rPr>
              <w:lastRenderedPageBreak/>
              <w:t xml:space="preserve">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</w:tr>
      <w:tr w:rsidR="00222807" w:rsidRPr="00E03576" w:rsidTr="00222807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lastRenderedPageBreak/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c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1065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870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1E4AAE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222807" w:rsidRPr="001E4AAE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5040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020B" w:rsidRDefault="00222807" w:rsidP="00AC0175">
            <w:pPr>
              <w:keepNext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gramStart"/>
            <w:r w:rsidRPr="00770355">
              <w:rPr>
                <w:sz w:val="21"/>
                <w:szCs w:val="21"/>
              </w:rPr>
              <w:t>большую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222807" w:rsidRPr="00770355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CA1159" w:rsidRDefault="00222807" w:rsidP="00AC0175">
            <w:pPr>
              <w:pStyle w:val="a3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  <w:sz w:val="22"/>
                <w:szCs w:val="22"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c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222807" w:rsidRPr="0009778A" w:rsidRDefault="00222807" w:rsidP="00AC0175">
            <w:pPr>
              <w:pStyle w:val="a3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5958F1">
            <w:pPr>
              <w:keepNext/>
              <w:rPr>
                <w:sz w:val="22"/>
                <w:szCs w:val="22"/>
              </w:rPr>
            </w:pPr>
            <w:r w:rsidRPr="00B60A80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60A80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5958F1">
            <w:pPr>
              <w:keepNext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Эластичный пояс для калоприемников и </w:t>
            </w:r>
            <w:proofErr w:type="spellStart"/>
            <w:r w:rsidRPr="0009778A">
              <w:rPr>
                <w:sz w:val="21"/>
                <w:szCs w:val="21"/>
              </w:rPr>
              <w:t>уроприемников</w:t>
            </w:r>
            <w:proofErr w:type="spellEnd"/>
            <w:r w:rsidRPr="0009778A">
              <w:rPr>
                <w:sz w:val="21"/>
                <w:szCs w:val="21"/>
              </w:rPr>
              <w:t xml:space="preserve">  должен быть из </w:t>
            </w:r>
            <w:proofErr w:type="spellStart"/>
            <w:r w:rsidRPr="0009778A">
              <w:rPr>
                <w:sz w:val="21"/>
                <w:szCs w:val="21"/>
              </w:rPr>
              <w:t>гипоаллергенного</w:t>
            </w:r>
            <w:proofErr w:type="spellEnd"/>
            <w:r w:rsidRPr="0009778A">
              <w:rPr>
                <w:sz w:val="21"/>
                <w:szCs w:val="21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применяться для дополнительной фиксации калоприемника и </w:t>
            </w:r>
            <w:proofErr w:type="spellStart"/>
            <w:r w:rsidRPr="0009778A">
              <w:rPr>
                <w:sz w:val="21"/>
                <w:szCs w:val="21"/>
              </w:rPr>
              <w:lastRenderedPageBreak/>
              <w:t>уроприемника</w:t>
            </w:r>
            <w:proofErr w:type="spellEnd"/>
            <w:r w:rsidRPr="0009778A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lastRenderedPageBreak/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Default="00222807" w:rsidP="00AC0175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222807" w:rsidRPr="00E03576" w:rsidTr="00222807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B60A80" w:rsidRDefault="00222807" w:rsidP="00AC0175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09778A" w:rsidRDefault="00222807" w:rsidP="00AC0175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2807" w:rsidRPr="006918C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2E5B8E" w:rsidRDefault="00222807" w:rsidP="00AC0175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3483</w:t>
            </w:r>
          </w:p>
        </w:tc>
      </w:tr>
      <w:tr w:rsidR="00222807" w:rsidRPr="00E03576" w:rsidTr="00222807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6918CB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18CB">
              <w:rPr>
                <w:sz w:val="22"/>
                <w:szCs w:val="22"/>
              </w:rPr>
              <w:t>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2E5B8E" w:rsidRDefault="00222807" w:rsidP="00AC0175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5B8E">
              <w:rPr>
                <w:sz w:val="22"/>
                <w:szCs w:val="22"/>
              </w:rPr>
              <w:t>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5B8E">
              <w:rPr>
                <w:sz w:val="22"/>
                <w:szCs w:val="22"/>
              </w:rPr>
              <w:t>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222807" w:rsidRPr="002E5B8E" w:rsidRDefault="00222807" w:rsidP="00AC0175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21378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6742">
              <w:rPr>
                <w:sz w:val="22"/>
                <w:szCs w:val="22"/>
              </w:rPr>
              <w:t>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1590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6930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1860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Пудра (порошок) абсорбирующая в </w:t>
            </w:r>
            <w:r>
              <w:rPr>
                <w:sz w:val="22"/>
                <w:szCs w:val="22"/>
              </w:rPr>
              <w:lastRenderedPageBreak/>
              <w:t>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lastRenderedPageBreak/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66742">
              <w:rPr>
                <w:sz w:val="22"/>
                <w:szCs w:val="22"/>
              </w:rPr>
              <w:t xml:space="preserve">предназначен для защиты мокнущей кожи. Должен впитывать влагу, </w:t>
            </w:r>
            <w:r w:rsidRPr="00F66742">
              <w:rPr>
                <w:sz w:val="22"/>
                <w:szCs w:val="22"/>
              </w:rPr>
              <w:lastRenderedPageBreak/>
              <w:t>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lastRenderedPageBreak/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24660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Защитная пленка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7" w:rsidRPr="00E13368" w:rsidRDefault="00222807" w:rsidP="00AC0175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F66742" w:rsidRDefault="00222807" w:rsidP="00AC0175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222807" w:rsidRPr="00E03576" w:rsidTr="00222807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07" w:rsidRPr="00506748" w:rsidRDefault="00222807" w:rsidP="00AC0175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222807" w:rsidRPr="00E22119" w:rsidRDefault="00222807" w:rsidP="00AC0175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07" w:rsidRPr="00480ADE" w:rsidRDefault="00222807" w:rsidP="00AC0175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  <w:sz w:val="22"/>
                <w:szCs w:val="22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для извлечения анального тампона из хлопка.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07" w:rsidRPr="00222807" w:rsidRDefault="00222807" w:rsidP="00222807">
            <w:pPr>
              <w:jc w:val="center"/>
              <w:rPr>
                <w:color w:val="000000"/>
                <w:sz w:val="22"/>
                <w:szCs w:val="22"/>
              </w:rPr>
            </w:pPr>
            <w:r w:rsidRPr="00222807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B15A01" w:rsidRPr="00CA020B" w:rsidTr="00AC0175">
        <w:trPr>
          <w:trHeight w:val="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CA020B" w:rsidRDefault="00B15A01" w:rsidP="00AC0175">
            <w:pPr>
              <w:keepNext/>
              <w:autoSpaceDE w:val="0"/>
              <w:ind w:firstLine="34"/>
              <w:jc w:val="right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1" w:rsidRPr="00222807" w:rsidRDefault="00222807" w:rsidP="002228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2807">
              <w:rPr>
                <w:bCs/>
                <w:color w:val="000000"/>
                <w:sz w:val="22"/>
                <w:szCs w:val="22"/>
              </w:rPr>
              <w:t>181623</w:t>
            </w:r>
          </w:p>
        </w:tc>
      </w:tr>
    </w:tbl>
    <w:p w:rsidR="00B02A90" w:rsidRPr="006540F0" w:rsidRDefault="00B02A90" w:rsidP="00B02A90">
      <w:r>
        <w:t>Срок осуществления закупки: август 2018 г.</w:t>
      </w:r>
    </w:p>
    <w:p w:rsidR="00555653" w:rsidRDefault="00555653">
      <w:bookmarkStart w:id="0" w:name="_GoBack"/>
      <w:bookmarkEnd w:id="0"/>
    </w:p>
    <w:sectPr w:rsidR="00555653" w:rsidSect="00B15A01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1"/>
    <w:rsid w:val="00222807"/>
    <w:rsid w:val="00555653"/>
    <w:rsid w:val="00B02A90"/>
    <w:rsid w:val="00B15A01"/>
    <w:rsid w:val="00DE63EF"/>
    <w:rsid w:val="00E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USER</cp:lastModifiedBy>
  <cp:revision>5</cp:revision>
  <dcterms:created xsi:type="dcterms:W3CDTF">2018-05-23T12:40:00Z</dcterms:created>
  <dcterms:modified xsi:type="dcterms:W3CDTF">2018-07-24T13:12:00Z</dcterms:modified>
</cp:coreProperties>
</file>