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CC" w:rsidRDefault="006736CC" w:rsidP="006736CC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6736CC" w:rsidRPr="00DC3089" w:rsidRDefault="006736CC" w:rsidP="006736CC"/>
    <w:p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техническим, </w:t>
      </w:r>
      <w:r w:rsidR="009550CB">
        <w:rPr>
          <w:color w:val="000000"/>
        </w:rPr>
        <w:t xml:space="preserve">функциональным и </w:t>
      </w:r>
      <w:r>
        <w:rPr>
          <w:color w:val="000000"/>
        </w:rPr>
        <w:t>ка</w:t>
      </w:r>
      <w:r w:rsidR="00B856BB">
        <w:rPr>
          <w:color w:val="000000"/>
        </w:rPr>
        <w:t xml:space="preserve">чественным характеристикам </w:t>
      </w:r>
      <w:r w:rsidR="00F04FB0">
        <w:rPr>
          <w:color w:val="000000"/>
        </w:rPr>
        <w:t xml:space="preserve">товара – </w:t>
      </w:r>
      <w:r w:rsidR="00E316DF">
        <w:rPr>
          <w:color w:val="000000"/>
        </w:rPr>
        <w:t>специальные средства при нарушении функций выделения</w:t>
      </w:r>
      <w:r>
        <w:rPr>
          <w:color w:val="000000"/>
          <w:szCs w:val="22"/>
        </w:rPr>
        <w:t>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1183"/>
        <w:gridCol w:w="1321"/>
      </w:tblGrid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="006736CC"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183" w:type="dxa"/>
            <w:vAlign w:val="center"/>
          </w:tcPr>
          <w:p w:rsidR="006736CC" w:rsidRPr="00831E5C" w:rsidRDefault="00D717CE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="006736CC" w:rsidRPr="00831E5C">
              <w:rPr>
                <w:sz w:val="20"/>
                <w:szCs w:val="20"/>
                <w:lang w:eastAsia="ar-SA"/>
              </w:rPr>
              <w:t>,</w:t>
            </w:r>
          </w:p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4638C0" w:rsidRPr="00831E5C" w:rsidTr="009054F6">
        <w:trPr>
          <w:jc w:val="center"/>
        </w:trPr>
        <w:tc>
          <w:tcPr>
            <w:tcW w:w="514" w:type="dxa"/>
            <w:vAlign w:val="center"/>
          </w:tcPr>
          <w:p w:rsidR="004638C0" w:rsidRPr="00831E5C" w:rsidRDefault="004638C0" w:rsidP="0046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4638C0" w:rsidRPr="00831E5C" w:rsidRDefault="00A6439E" w:rsidP="0046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1566" w:type="dxa"/>
            <w:vAlign w:val="center"/>
          </w:tcPr>
          <w:p w:rsidR="004638C0" w:rsidRPr="00831E5C" w:rsidRDefault="004638C0" w:rsidP="008D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8D27D5" w:rsidRPr="00CA4517">
              <w:rPr>
                <w:sz w:val="20"/>
                <w:szCs w:val="20"/>
              </w:rPr>
              <w:t xml:space="preserve"> </w:t>
            </w:r>
            <w:r w:rsidR="001A2EDF">
              <w:rPr>
                <w:sz w:val="20"/>
                <w:szCs w:val="20"/>
              </w:rPr>
              <w:t xml:space="preserve">– </w:t>
            </w:r>
            <w:r w:rsidR="008D27D5"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="008D27D5" w:rsidRPr="00CA4517">
              <w:rPr>
                <w:sz w:val="20"/>
                <w:szCs w:val="20"/>
              </w:rPr>
              <w:t>самокатетери</w:t>
            </w:r>
            <w:r w:rsidR="008D27D5">
              <w:rPr>
                <w:sz w:val="20"/>
                <w:szCs w:val="20"/>
              </w:rPr>
              <w:t>-</w:t>
            </w:r>
            <w:r w:rsidR="008D27D5" w:rsidRPr="00CA4517">
              <w:rPr>
                <w:sz w:val="20"/>
                <w:szCs w:val="20"/>
              </w:rPr>
              <w:t>зации</w:t>
            </w:r>
            <w:proofErr w:type="spellEnd"/>
            <w:r w:rsidR="008D27D5" w:rsidRPr="00CA4517">
              <w:rPr>
                <w:sz w:val="20"/>
                <w:szCs w:val="20"/>
              </w:rPr>
              <w:t xml:space="preserve"> </w:t>
            </w:r>
            <w:proofErr w:type="spellStart"/>
            <w:r w:rsidR="008D27D5" w:rsidRPr="00CA4517">
              <w:rPr>
                <w:sz w:val="20"/>
                <w:szCs w:val="20"/>
              </w:rPr>
              <w:t>лубрицирован</w:t>
            </w:r>
            <w:r w:rsidR="008D27D5">
              <w:rPr>
                <w:sz w:val="20"/>
                <w:szCs w:val="20"/>
              </w:rPr>
              <w:t>-</w:t>
            </w:r>
            <w:r w:rsidR="008D27D5" w:rsidRPr="00CA4517">
              <w:rPr>
                <w:sz w:val="20"/>
                <w:szCs w:val="20"/>
              </w:rPr>
              <w:t>ный</w:t>
            </w:r>
            <w:proofErr w:type="spellEnd"/>
            <w:r w:rsidR="008D27D5" w:rsidRPr="00CA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:rsidR="004638C0" w:rsidRPr="00CA4517" w:rsidRDefault="004638C0" w:rsidP="004638C0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CA4517">
              <w:rPr>
                <w:sz w:val="20"/>
                <w:szCs w:val="20"/>
              </w:rPr>
              <w:t>самокатетеризации</w:t>
            </w:r>
            <w:proofErr w:type="spellEnd"/>
            <w:r w:rsidRPr="00CA4517">
              <w:rPr>
                <w:sz w:val="20"/>
                <w:szCs w:val="20"/>
              </w:rPr>
              <w:t xml:space="preserve"> </w:t>
            </w:r>
            <w:proofErr w:type="spellStart"/>
            <w:r w:rsidRPr="00CA4517">
              <w:rPr>
                <w:sz w:val="20"/>
                <w:szCs w:val="20"/>
              </w:rPr>
              <w:t>лубрицированный</w:t>
            </w:r>
            <w:proofErr w:type="spellEnd"/>
            <w:r w:rsidRPr="00CA4517">
              <w:rPr>
                <w:sz w:val="20"/>
                <w:szCs w:val="20"/>
              </w:rPr>
              <w:t xml:space="preserve"> (типа </w:t>
            </w:r>
            <w:proofErr w:type="spellStart"/>
            <w:r w:rsidRPr="00CA4517">
              <w:rPr>
                <w:sz w:val="20"/>
                <w:szCs w:val="20"/>
              </w:rPr>
              <w:t>Нелатон</w:t>
            </w:r>
            <w:proofErr w:type="spellEnd"/>
            <w:r w:rsidRPr="00CA4517">
              <w:rPr>
                <w:sz w:val="20"/>
                <w:szCs w:val="20"/>
              </w:rPr>
              <w:t xml:space="preserve">) детский для однократного применения, предназначен для чистой </w:t>
            </w:r>
            <w:proofErr w:type="spellStart"/>
            <w:r w:rsidRPr="00CA4517">
              <w:rPr>
                <w:sz w:val="20"/>
                <w:szCs w:val="20"/>
              </w:rPr>
              <w:t>самокатетеризации</w:t>
            </w:r>
            <w:proofErr w:type="spellEnd"/>
            <w:r w:rsidRPr="00CA4517">
              <w:rPr>
                <w:sz w:val="20"/>
                <w:szCs w:val="20"/>
              </w:rPr>
              <w:t xml:space="preserve">, должен быть изготовлен из поливинилхлорида (ПВХ), покрыт </w:t>
            </w:r>
            <w:proofErr w:type="spellStart"/>
            <w:r w:rsidRPr="00CA4517">
              <w:rPr>
                <w:sz w:val="20"/>
                <w:szCs w:val="20"/>
              </w:rPr>
              <w:t>гидрополимерным</w:t>
            </w:r>
            <w:proofErr w:type="spellEnd"/>
            <w:r w:rsidRPr="00CA4517">
              <w:rPr>
                <w:sz w:val="20"/>
                <w:szCs w:val="20"/>
              </w:rPr>
              <w:t xml:space="preserve"> (ПВП) </w:t>
            </w:r>
            <w:proofErr w:type="spellStart"/>
            <w:r w:rsidRPr="00CA4517">
              <w:rPr>
                <w:sz w:val="20"/>
                <w:szCs w:val="20"/>
              </w:rPr>
              <w:t>лубрикантом</w:t>
            </w:r>
            <w:proofErr w:type="spellEnd"/>
            <w:r w:rsidRPr="00CA4517">
              <w:rPr>
                <w:sz w:val="20"/>
                <w:szCs w:val="20"/>
              </w:rPr>
              <w:t xml:space="preserve">, увеличивающимся в объеме при контакте с водой. Катетер должен быть стерильным. Катетер должен иметь не менее двух типоразмеров (по шкале </w:t>
            </w:r>
            <w:proofErr w:type="spell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>) в диапазоне от размера 08 до размера 12.</w:t>
            </w:r>
          </w:p>
        </w:tc>
        <w:tc>
          <w:tcPr>
            <w:tcW w:w="873" w:type="dxa"/>
            <w:vAlign w:val="center"/>
          </w:tcPr>
          <w:p w:rsidR="004638C0" w:rsidRPr="00214B1E" w:rsidRDefault="004638C0" w:rsidP="004638C0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t>4100</w:t>
            </w:r>
          </w:p>
        </w:tc>
        <w:tc>
          <w:tcPr>
            <w:tcW w:w="1183" w:type="dxa"/>
            <w:vAlign w:val="center"/>
          </w:tcPr>
          <w:p w:rsidR="004638C0" w:rsidRPr="007E4AAA" w:rsidRDefault="004638C0" w:rsidP="004638C0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67,43</w:t>
            </w:r>
          </w:p>
        </w:tc>
        <w:tc>
          <w:tcPr>
            <w:tcW w:w="1321" w:type="dxa"/>
            <w:vAlign w:val="center"/>
          </w:tcPr>
          <w:p w:rsidR="004638C0" w:rsidRPr="004638C0" w:rsidRDefault="004638C0" w:rsidP="004638C0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276 463,00</w:t>
            </w:r>
          </w:p>
        </w:tc>
      </w:tr>
      <w:tr w:rsidR="00CA4517" w:rsidRPr="00831E5C" w:rsidTr="00AB31C0">
        <w:trPr>
          <w:jc w:val="center"/>
        </w:trPr>
        <w:tc>
          <w:tcPr>
            <w:tcW w:w="514" w:type="dxa"/>
            <w:vAlign w:val="center"/>
          </w:tcPr>
          <w:p w:rsidR="00CA4517" w:rsidRPr="00831E5C" w:rsidRDefault="00CA4517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CA4517" w:rsidRPr="00831E5C" w:rsidRDefault="00154626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1566" w:type="dxa"/>
          </w:tcPr>
          <w:p w:rsidR="00CA4517" w:rsidRDefault="00CA4517" w:rsidP="00CA4517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1A2EDF">
              <w:rPr>
                <w:sz w:val="20"/>
                <w:szCs w:val="20"/>
              </w:rPr>
              <w:t xml:space="preserve"> – </w:t>
            </w:r>
            <w:r w:rsidR="00E6088B"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="00E6088B" w:rsidRPr="00CA4517">
              <w:rPr>
                <w:sz w:val="20"/>
                <w:szCs w:val="20"/>
              </w:rPr>
              <w:t>самокатетери</w:t>
            </w:r>
            <w:r w:rsidR="00E6088B">
              <w:rPr>
                <w:sz w:val="20"/>
                <w:szCs w:val="20"/>
              </w:rPr>
              <w:t>-</w:t>
            </w:r>
            <w:r w:rsidR="00E6088B" w:rsidRPr="00CA4517">
              <w:rPr>
                <w:sz w:val="20"/>
                <w:szCs w:val="20"/>
              </w:rPr>
              <w:t>зации</w:t>
            </w:r>
            <w:proofErr w:type="spellEnd"/>
            <w:r w:rsidR="00E6088B" w:rsidRPr="00CA4517">
              <w:rPr>
                <w:sz w:val="20"/>
                <w:szCs w:val="20"/>
              </w:rPr>
              <w:t xml:space="preserve"> </w:t>
            </w:r>
            <w:proofErr w:type="spellStart"/>
            <w:r w:rsidR="00E6088B" w:rsidRPr="00CA4517">
              <w:rPr>
                <w:sz w:val="20"/>
                <w:szCs w:val="20"/>
              </w:rPr>
              <w:t>лубрицирован</w:t>
            </w:r>
            <w:r w:rsidR="00E6088B">
              <w:rPr>
                <w:sz w:val="20"/>
                <w:szCs w:val="20"/>
              </w:rPr>
              <w:t>-</w:t>
            </w:r>
            <w:r w:rsidR="00E6088B" w:rsidRPr="00CA4517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951" w:type="dxa"/>
            <w:vAlign w:val="center"/>
          </w:tcPr>
          <w:p w:rsidR="00CA4517" w:rsidRPr="00CA4517" w:rsidRDefault="00CA4517" w:rsidP="00CA4517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CA4517">
              <w:rPr>
                <w:sz w:val="20"/>
                <w:szCs w:val="20"/>
              </w:rPr>
              <w:t>самокатетеризации</w:t>
            </w:r>
            <w:proofErr w:type="spellEnd"/>
            <w:r w:rsidRPr="00CA4517">
              <w:rPr>
                <w:sz w:val="20"/>
                <w:szCs w:val="20"/>
              </w:rPr>
              <w:t xml:space="preserve"> </w:t>
            </w:r>
            <w:proofErr w:type="spellStart"/>
            <w:r w:rsidRPr="00CA4517">
              <w:rPr>
                <w:sz w:val="20"/>
                <w:szCs w:val="20"/>
              </w:rPr>
              <w:t>лубрицированный</w:t>
            </w:r>
            <w:proofErr w:type="spellEnd"/>
            <w:r w:rsidRPr="00CA4517">
              <w:rPr>
                <w:sz w:val="20"/>
                <w:szCs w:val="20"/>
              </w:rPr>
              <w:t xml:space="preserve"> (типа </w:t>
            </w:r>
            <w:proofErr w:type="spellStart"/>
            <w:r w:rsidRPr="00CA4517">
              <w:rPr>
                <w:sz w:val="20"/>
                <w:szCs w:val="20"/>
              </w:rPr>
              <w:t>Нелатон</w:t>
            </w:r>
            <w:proofErr w:type="spellEnd"/>
            <w:r w:rsidRPr="00CA4517">
              <w:rPr>
                <w:sz w:val="20"/>
                <w:szCs w:val="20"/>
              </w:rPr>
              <w:t xml:space="preserve">) мужской/женский однократного применения, предназначен для чистой </w:t>
            </w:r>
            <w:proofErr w:type="spellStart"/>
            <w:r w:rsidRPr="00CA4517">
              <w:rPr>
                <w:sz w:val="20"/>
                <w:szCs w:val="20"/>
              </w:rPr>
              <w:t>самокатетеризации</w:t>
            </w:r>
            <w:proofErr w:type="spellEnd"/>
            <w:r w:rsidRPr="00CA4517">
              <w:rPr>
                <w:sz w:val="20"/>
                <w:szCs w:val="20"/>
              </w:rPr>
              <w:t xml:space="preserve">, должен быть изготовлен из поливинилхлорида (ПВХ), покрыт </w:t>
            </w:r>
            <w:proofErr w:type="spellStart"/>
            <w:r w:rsidRPr="00CA4517">
              <w:rPr>
                <w:sz w:val="20"/>
                <w:szCs w:val="20"/>
              </w:rPr>
              <w:t>гидрополимерным</w:t>
            </w:r>
            <w:proofErr w:type="spellEnd"/>
            <w:r w:rsidRPr="00CA4517">
              <w:rPr>
                <w:sz w:val="20"/>
                <w:szCs w:val="20"/>
              </w:rPr>
              <w:t xml:space="preserve"> (ПВП) </w:t>
            </w:r>
            <w:proofErr w:type="spellStart"/>
            <w:r w:rsidRPr="00CA4517">
              <w:rPr>
                <w:sz w:val="20"/>
                <w:szCs w:val="20"/>
              </w:rPr>
              <w:t>лубрикантом</w:t>
            </w:r>
            <w:proofErr w:type="spellEnd"/>
            <w:r w:rsidRPr="00CA4517">
              <w:rPr>
                <w:sz w:val="20"/>
                <w:szCs w:val="20"/>
              </w:rPr>
              <w:t xml:space="preserve">, увеличивающимся в объеме при контакте с водой. Катетер должен быть стерильным. Катетер должен иметь не менее шести (мужской)/не менее пяти (женский) типоразмеров (по шкале </w:t>
            </w:r>
            <w:proofErr w:type="spell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>) в диапазоне от размера 06 до размера 22.</w:t>
            </w:r>
          </w:p>
        </w:tc>
        <w:tc>
          <w:tcPr>
            <w:tcW w:w="873" w:type="dxa"/>
            <w:vAlign w:val="center"/>
          </w:tcPr>
          <w:p w:rsidR="00CA4517" w:rsidRPr="00214B1E" w:rsidRDefault="00CA4517" w:rsidP="00CA4517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t>34573</w:t>
            </w:r>
          </w:p>
        </w:tc>
        <w:tc>
          <w:tcPr>
            <w:tcW w:w="1183" w:type="dxa"/>
            <w:vAlign w:val="center"/>
          </w:tcPr>
          <w:p w:rsidR="00CA4517" w:rsidRPr="007E4AAA" w:rsidRDefault="00CA4517" w:rsidP="00CA4517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76,00</w:t>
            </w:r>
          </w:p>
        </w:tc>
        <w:tc>
          <w:tcPr>
            <w:tcW w:w="1321" w:type="dxa"/>
            <w:vAlign w:val="center"/>
          </w:tcPr>
          <w:p w:rsidR="00CA4517" w:rsidRPr="004638C0" w:rsidRDefault="00CA4517" w:rsidP="00CA4517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2 627 548,00</w:t>
            </w:r>
          </w:p>
        </w:tc>
      </w:tr>
      <w:tr w:rsidR="00CA4517" w:rsidRPr="00831E5C" w:rsidTr="00AB31C0">
        <w:trPr>
          <w:jc w:val="center"/>
        </w:trPr>
        <w:tc>
          <w:tcPr>
            <w:tcW w:w="514" w:type="dxa"/>
            <w:vAlign w:val="center"/>
          </w:tcPr>
          <w:p w:rsidR="00CA4517" w:rsidRPr="00831E5C" w:rsidRDefault="00CA4517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CA4517" w:rsidRPr="00831E5C" w:rsidRDefault="00E6088B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21-01-21</w:t>
            </w:r>
          </w:p>
        </w:tc>
        <w:tc>
          <w:tcPr>
            <w:tcW w:w="1566" w:type="dxa"/>
          </w:tcPr>
          <w:p w:rsidR="00CA4517" w:rsidRDefault="00CA4517" w:rsidP="00CA4517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E6088B">
              <w:rPr>
                <w:sz w:val="20"/>
                <w:szCs w:val="20"/>
              </w:rPr>
              <w:t xml:space="preserve"> – </w:t>
            </w:r>
            <w:r w:rsidR="00E6088B" w:rsidRPr="00CA4517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="00E6088B" w:rsidRPr="00CA4517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3951" w:type="dxa"/>
            <w:vAlign w:val="center"/>
          </w:tcPr>
          <w:p w:rsidR="00CA4517" w:rsidRPr="00CA4517" w:rsidRDefault="00CA4517" w:rsidP="00CA4517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CA4517">
              <w:rPr>
                <w:sz w:val="20"/>
                <w:szCs w:val="20"/>
              </w:rPr>
              <w:t>самокатетеризации</w:t>
            </w:r>
            <w:proofErr w:type="spellEnd"/>
            <w:r w:rsidRPr="00CA4517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CA4517">
              <w:rPr>
                <w:sz w:val="20"/>
                <w:szCs w:val="20"/>
              </w:rPr>
              <w:t>самокатетеризации</w:t>
            </w:r>
            <w:proofErr w:type="spellEnd"/>
            <w:r w:rsidRPr="00CA4517">
              <w:rPr>
                <w:sz w:val="20"/>
                <w:szCs w:val="20"/>
              </w:rPr>
              <w:t xml:space="preserve"> в наборе) мужские/женские. Набор должен состоять из катетера </w:t>
            </w:r>
            <w:proofErr w:type="spellStart"/>
            <w:r w:rsidRPr="00CA4517">
              <w:rPr>
                <w:sz w:val="20"/>
                <w:szCs w:val="20"/>
              </w:rPr>
              <w:t>лубрицированного</w:t>
            </w:r>
            <w:proofErr w:type="spellEnd"/>
            <w:r w:rsidRPr="00CA4517">
              <w:rPr>
                <w:sz w:val="20"/>
                <w:szCs w:val="20"/>
              </w:rPr>
              <w:t xml:space="preserve"> для периодической </w:t>
            </w:r>
            <w:proofErr w:type="spellStart"/>
            <w:r w:rsidRPr="00CA4517">
              <w:rPr>
                <w:sz w:val="20"/>
                <w:szCs w:val="20"/>
              </w:rPr>
              <w:t>самокатетеризации</w:t>
            </w:r>
            <w:proofErr w:type="spellEnd"/>
            <w:r w:rsidRPr="00CA4517">
              <w:rPr>
                <w:sz w:val="20"/>
                <w:szCs w:val="20"/>
              </w:rPr>
              <w:t xml:space="preserve">, мешка-мочеприемника и жидкости для активации </w:t>
            </w:r>
            <w:proofErr w:type="spellStart"/>
            <w:r w:rsidRPr="00CA4517">
              <w:rPr>
                <w:sz w:val="20"/>
                <w:szCs w:val="20"/>
              </w:rPr>
              <w:t>лубриканта</w:t>
            </w:r>
            <w:proofErr w:type="spellEnd"/>
            <w:r w:rsidRPr="00CA4517">
              <w:rPr>
                <w:sz w:val="20"/>
                <w:szCs w:val="20"/>
              </w:rPr>
              <w:t xml:space="preserve"> катетера. Катетер должен иметь не менее трех типоразмеров (по шкале </w:t>
            </w:r>
            <w:proofErr w:type="spellStart"/>
            <w:proofErr w:type="gram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>)  в</w:t>
            </w:r>
            <w:proofErr w:type="gramEnd"/>
            <w:r w:rsidRPr="00CA4517">
              <w:rPr>
                <w:sz w:val="20"/>
                <w:szCs w:val="20"/>
              </w:rPr>
              <w:t xml:space="preserve"> диапазоне от 06 до 22. </w:t>
            </w:r>
          </w:p>
        </w:tc>
        <w:tc>
          <w:tcPr>
            <w:tcW w:w="873" w:type="dxa"/>
            <w:vAlign w:val="center"/>
          </w:tcPr>
          <w:p w:rsidR="00CA4517" w:rsidRPr="00214B1E" w:rsidRDefault="00CA4517" w:rsidP="00CA4517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t>4680</w:t>
            </w:r>
          </w:p>
        </w:tc>
        <w:tc>
          <w:tcPr>
            <w:tcW w:w="1183" w:type="dxa"/>
            <w:vAlign w:val="center"/>
          </w:tcPr>
          <w:p w:rsidR="00CA4517" w:rsidRPr="007E4AAA" w:rsidRDefault="00CA4517" w:rsidP="00CA4517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199,84</w:t>
            </w:r>
          </w:p>
        </w:tc>
        <w:tc>
          <w:tcPr>
            <w:tcW w:w="1321" w:type="dxa"/>
            <w:vAlign w:val="center"/>
          </w:tcPr>
          <w:p w:rsidR="00CA4517" w:rsidRPr="004638C0" w:rsidRDefault="00CA4517" w:rsidP="00CA4517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935 251,20</w:t>
            </w:r>
          </w:p>
        </w:tc>
      </w:tr>
      <w:tr w:rsidR="00CA4517" w:rsidRPr="00831E5C" w:rsidTr="00AB31C0">
        <w:trPr>
          <w:jc w:val="center"/>
        </w:trPr>
        <w:tc>
          <w:tcPr>
            <w:tcW w:w="514" w:type="dxa"/>
            <w:vAlign w:val="center"/>
          </w:tcPr>
          <w:p w:rsidR="00CA4517" w:rsidRPr="00831E5C" w:rsidRDefault="00CA4517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CA4517" w:rsidRPr="00831E5C" w:rsidRDefault="002B6871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21-01-22</w:t>
            </w:r>
          </w:p>
        </w:tc>
        <w:tc>
          <w:tcPr>
            <w:tcW w:w="1566" w:type="dxa"/>
          </w:tcPr>
          <w:p w:rsidR="00CA4517" w:rsidRDefault="00CA4517" w:rsidP="00CA4517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2B6871">
              <w:rPr>
                <w:sz w:val="20"/>
                <w:szCs w:val="20"/>
              </w:rPr>
              <w:t xml:space="preserve"> – </w:t>
            </w:r>
            <w:r w:rsidR="002B6871" w:rsidRPr="00CA4517">
              <w:rPr>
                <w:sz w:val="20"/>
                <w:szCs w:val="20"/>
              </w:rPr>
              <w:t xml:space="preserve">Катетер уретральный </w:t>
            </w:r>
            <w:r w:rsidR="002B6871" w:rsidRPr="00CA4517">
              <w:rPr>
                <w:sz w:val="20"/>
                <w:szCs w:val="20"/>
              </w:rPr>
              <w:lastRenderedPageBreak/>
              <w:t>длительного пользования</w:t>
            </w:r>
          </w:p>
        </w:tc>
        <w:tc>
          <w:tcPr>
            <w:tcW w:w="3951" w:type="dxa"/>
            <w:vAlign w:val="center"/>
          </w:tcPr>
          <w:p w:rsidR="00CA4517" w:rsidRPr="00CA4517" w:rsidRDefault="00CA4517" w:rsidP="00CA4517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lastRenderedPageBreak/>
              <w:t xml:space="preserve">Катетер уретральный длительного пользования. Урологический катетер двух ходовой, должен быть изготовлен из силикона или высококачественного латекса, покрытого силиконом. Катетер должен быть стерильным. Катетер должен </w:t>
            </w:r>
            <w:r w:rsidRPr="00CA4517">
              <w:rPr>
                <w:sz w:val="20"/>
                <w:szCs w:val="20"/>
              </w:rPr>
              <w:lastRenderedPageBreak/>
              <w:t xml:space="preserve">иметь типоразмеры (по шкале </w:t>
            </w:r>
            <w:proofErr w:type="spell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 xml:space="preserve">) в диапазоне от 06 до </w:t>
            </w:r>
            <w:proofErr w:type="gramStart"/>
            <w:r w:rsidRPr="00CA4517">
              <w:rPr>
                <w:sz w:val="20"/>
                <w:szCs w:val="20"/>
              </w:rPr>
              <w:t>22 .</w:t>
            </w:r>
            <w:proofErr w:type="gramEnd"/>
          </w:p>
        </w:tc>
        <w:tc>
          <w:tcPr>
            <w:tcW w:w="873" w:type="dxa"/>
            <w:vAlign w:val="center"/>
          </w:tcPr>
          <w:p w:rsidR="00CA4517" w:rsidRPr="00214B1E" w:rsidRDefault="00CA4517" w:rsidP="00CA4517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lastRenderedPageBreak/>
              <w:t>294</w:t>
            </w:r>
          </w:p>
        </w:tc>
        <w:tc>
          <w:tcPr>
            <w:tcW w:w="1183" w:type="dxa"/>
            <w:vAlign w:val="center"/>
          </w:tcPr>
          <w:p w:rsidR="00CA4517" w:rsidRPr="007E4AAA" w:rsidRDefault="00CA4517" w:rsidP="00CA4517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67,67</w:t>
            </w:r>
          </w:p>
        </w:tc>
        <w:tc>
          <w:tcPr>
            <w:tcW w:w="1321" w:type="dxa"/>
            <w:vAlign w:val="center"/>
          </w:tcPr>
          <w:p w:rsidR="00CA4517" w:rsidRPr="004638C0" w:rsidRDefault="00CA4517" w:rsidP="00CA4517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19 894,98</w:t>
            </w:r>
          </w:p>
        </w:tc>
      </w:tr>
      <w:tr w:rsidR="00CA4517" w:rsidRPr="00831E5C" w:rsidTr="00AB31C0">
        <w:trPr>
          <w:jc w:val="center"/>
        </w:trPr>
        <w:tc>
          <w:tcPr>
            <w:tcW w:w="514" w:type="dxa"/>
            <w:vAlign w:val="center"/>
          </w:tcPr>
          <w:p w:rsidR="00CA4517" w:rsidRPr="00831E5C" w:rsidRDefault="00CA4517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34" w:type="dxa"/>
            <w:vAlign w:val="center"/>
          </w:tcPr>
          <w:p w:rsidR="00CA4517" w:rsidRPr="00831E5C" w:rsidRDefault="00483262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21-01-23</w:t>
            </w:r>
          </w:p>
        </w:tc>
        <w:tc>
          <w:tcPr>
            <w:tcW w:w="1566" w:type="dxa"/>
          </w:tcPr>
          <w:p w:rsidR="00CA4517" w:rsidRDefault="00CA4517" w:rsidP="00CA4517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483262">
              <w:rPr>
                <w:sz w:val="20"/>
                <w:szCs w:val="20"/>
              </w:rPr>
              <w:t xml:space="preserve"> – </w:t>
            </w:r>
            <w:r w:rsidR="00483262" w:rsidRPr="00CA4517">
              <w:rPr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3951" w:type="dxa"/>
            <w:vAlign w:val="center"/>
          </w:tcPr>
          <w:p w:rsidR="00CA4517" w:rsidRPr="00CA4517" w:rsidRDefault="00CA4517" w:rsidP="00CA4517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t xml:space="preserve">Катетер уретральный постоянного пользования. Урологический катетер двух ходовой, должен быть изготовлен из 100% силикона. Катетер должен быть стерильным. Катетер должен иметь типоразмеры (по шкале </w:t>
            </w:r>
            <w:proofErr w:type="spell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>) в диапазоне от 06 до 26.</w:t>
            </w:r>
          </w:p>
        </w:tc>
        <w:tc>
          <w:tcPr>
            <w:tcW w:w="873" w:type="dxa"/>
            <w:vAlign w:val="center"/>
          </w:tcPr>
          <w:p w:rsidR="00CA4517" w:rsidRPr="00214B1E" w:rsidRDefault="00CA4517" w:rsidP="00CA4517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t>84</w:t>
            </w:r>
          </w:p>
        </w:tc>
        <w:tc>
          <w:tcPr>
            <w:tcW w:w="1183" w:type="dxa"/>
            <w:vAlign w:val="center"/>
          </w:tcPr>
          <w:p w:rsidR="00CA4517" w:rsidRPr="007E4AAA" w:rsidRDefault="00CA4517" w:rsidP="00CA4517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75,32</w:t>
            </w:r>
          </w:p>
        </w:tc>
        <w:tc>
          <w:tcPr>
            <w:tcW w:w="1321" w:type="dxa"/>
            <w:vAlign w:val="center"/>
          </w:tcPr>
          <w:p w:rsidR="00CA4517" w:rsidRPr="004638C0" w:rsidRDefault="00CA4517" w:rsidP="00CA4517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6 326,88</w:t>
            </w:r>
          </w:p>
        </w:tc>
      </w:tr>
      <w:tr w:rsidR="00CA4517" w:rsidRPr="00831E5C" w:rsidTr="00AB31C0">
        <w:trPr>
          <w:jc w:val="center"/>
        </w:trPr>
        <w:tc>
          <w:tcPr>
            <w:tcW w:w="514" w:type="dxa"/>
            <w:vAlign w:val="center"/>
          </w:tcPr>
          <w:p w:rsidR="00CA4517" w:rsidRPr="00831E5C" w:rsidRDefault="00CA4517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CA4517" w:rsidRPr="00831E5C" w:rsidRDefault="00A96666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21-01-24</w:t>
            </w:r>
          </w:p>
        </w:tc>
        <w:tc>
          <w:tcPr>
            <w:tcW w:w="1566" w:type="dxa"/>
          </w:tcPr>
          <w:p w:rsidR="00CA4517" w:rsidRDefault="00CA4517" w:rsidP="00CA4517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A96666">
              <w:rPr>
                <w:sz w:val="20"/>
                <w:szCs w:val="20"/>
              </w:rPr>
              <w:t xml:space="preserve"> – </w:t>
            </w:r>
            <w:r w:rsidR="00A96666"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="00A96666" w:rsidRPr="00CA4517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3951" w:type="dxa"/>
            <w:vAlign w:val="center"/>
          </w:tcPr>
          <w:p w:rsidR="00CA4517" w:rsidRPr="00CA4517" w:rsidRDefault="00CA4517" w:rsidP="00CA4517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CA4517">
              <w:rPr>
                <w:sz w:val="20"/>
                <w:szCs w:val="20"/>
              </w:rPr>
              <w:t>эпицистостомы</w:t>
            </w:r>
            <w:proofErr w:type="spellEnd"/>
            <w:r w:rsidRPr="00CA4517">
              <w:rPr>
                <w:sz w:val="20"/>
                <w:szCs w:val="20"/>
              </w:rPr>
              <w:t xml:space="preserve"> (типа </w:t>
            </w:r>
            <w:proofErr w:type="spellStart"/>
            <w:r w:rsidRPr="00CA4517">
              <w:rPr>
                <w:sz w:val="20"/>
                <w:szCs w:val="20"/>
              </w:rPr>
              <w:t>Фолея</w:t>
            </w:r>
            <w:proofErr w:type="spellEnd"/>
            <w:r w:rsidRPr="00CA4517">
              <w:rPr>
                <w:sz w:val="20"/>
                <w:szCs w:val="20"/>
              </w:rPr>
              <w:t xml:space="preserve">) одноразового использования, двух ходовой, должен быть изготовлен из силикона или высококачественного латекса, покрытого силиконом. Катетер должен быть стерильным. Катетер должен иметь не менее тринадцати типоразмеров (по шкале </w:t>
            </w:r>
            <w:proofErr w:type="spell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>) в диапазоне от размера 06 до размера 30.</w:t>
            </w:r>
          </w:p>
        </w:tc>
        <w:tc>
          <w:tcPr>
            <w:tcW w:w="873" w:type="dxa"/>
            <w:vAlign w:val="center"/>
          </w:tcPr>
          <w:p w:rsidR="00CA4517" w:rsidRPr="00214B1E" w:rsidRDefault="00CA4517" w:rsidP="00CA4517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t>5300</w:t>
            </w:r>
          </w:p>
        </w:tc>
        <w:tc>
          <w:tcPr>
            <w:tcW w:w="1183" w:type="dxa"/>
            <w:vAlign w:val="center"/>
          </w:tcPr>
          <w:p w:rsidR="00CA4517" w:rsidRPr="007E4AAA" w:rsidRDefault="00CA4517" w:rsidP="00CA4517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65,40</w:t>
            </w:r>
          </w:p>
        </w:tc>
        <w:tc>
          <w:tcPr>
            <w:tcW w:w="1321" w:type="dxa"/>
            <w:vAlign w:val="center"/>
          </w:tcPr>
          <w:p w:rsidR="00CA4517" w:rsidRPr="004638C0" w:rsidRDefault="00CA4517" w:rsidP="00CA4517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346 620,00</w:t>
            </w:r>
          </w:p>
        </w:tc>
      </w:tr>
      <w:tr w:rsidR="00CA4517" w:rsidRPr="00831E5C" w:rsidTr="00AB31C0">
        <w:trPr>
          <w:jc w:val="center"/>
        </w:trPr>
        <w:tc>
          <w:tcPr>
            <w:tcW w:w="514" w:type="dxa"/>
            <w:vAlign w:val="center"/>
          </w:tcPr>
          <w:p w:rsidR="00CA4517" w:rsidRPr="00831E5C" w:rsidRDefault="00CA4517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CA4517" w:rsidRPr="00831E5C" w:rsidRDefault="00C14BB8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21-01-25</w:t>
            </w:r>
          </w:p>
        </w:tc>
        <w:tc>
          <w:tcPr>
            <w:tcW w:w="1566" w:type="dxa"/>
          </w:tcPr>
          <w:p w:rsidR="00CA4517" w:rsidRDefault="00CA4517" w:rsidP="00CA4517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C14BB8">
              <w:rPr>
                <w:sz w:val="20"/>
                <w:szCs w:val="20"/>
              </w:rPr>
              <w:t xml:space="preserve"> – </w:t>
            </w:r>
            <w:r w:rsidR="00C14BB8"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="00C14BB8" w:rsidRPr="00CA4517">
              <w:rPr>
                <w:sz w:val="20"/>
                <w:szCs w:val="20"/>
              </w:rPr>
              <w:t>нефростомы</w:t>
            </w:r>
            <w:proofErr w:type="spellEnd"/>
          </w:p>
        </w:tc>
        <w:tc>
          <w:tcPr>
            <w:tcW w:w="3951" w:type="dxa"/>
            <w:vAlign w:val="center"/>
          </w:tcPr>
          <w:p w:rsidR="00CA4517" w:rsidRPr="00CA4517" w:rsidRDefault="00CA4517" w:rsidP="00CA4517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CA4517">
              <w:rPr>
                <w:sz w:val="20"/>
                <w:szCs w:val="20"/>
              </w:rPr>
              <w:t>нефростомы</w:t>
            </w:r>
            <w:proofErr w:type="spellEnd"/>
            <w:r w:rsidRPr="00CA4517">
              <w:rPr>
                <w:sz w:val="20"/>
                <w:szCs w:val="20"/>
              </w:rPr>
              <w:t xml:space="preserve"> (система с катетером для </w:t>
            </w:r>
            <w:proofErr w:type="spellStart"/>
            <w:r w:rsidRPr="00CA4517">
              <w:rPr>
                <w:sz w:val="20"/>
                <w:szCs w:val="20"/>
              </w:rPr>
              <w:t>нефростомии</w:t>
            </w:r>
            <w:proofErr w:type="spellEnd"/>
            <w:r w:rsidRPr="00CA4517">
              <w:rPr>
                <w:sz w:val="20"/>
                <w:szCs w:val="20"/>
              </w:rPr>
              <w:t xml:space="preserve">) - дренажный катетер из полиуретана, </w:t>
            </w:r>
            <w:proofErr w:type="spellStart"/>
            <w:r w:rsidRPr="00CA4517">
              <w:rPr>
                <w:sz w:val="20"/>
                <w:szCs w:val="20"/>
              </w:rPr>
              <w:t>рентгеноконтрастный</w:t>
            </w:r>
            <w:proofErr w:type="spellEnd"/>
            <w:r w:rsidRPr="00CA4517">
              <w:rPr>
                <w:sz w:val="20"/>
                <w:szCs w:val="20"/>
              </w:rPr>
              <w:t xml:space="preserve">, покрыт гидрогелем, длина катетера не менее 30 см, центральное открытие, не менее 6 дренажных отверстий, по длине катетера углубления для фиксации нитью, катетер должен иметь фиксированный адаптер. Катетеры должны иметь не менее трех типоразмеров (по шкале </w:t>
            </w:r>
            <w:proofErr w:type="spell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>) в диапазоне от размера 08 до размера 12.</w:t>
            </w:r>
          </w:p>
        </w:tc>
        <w:tc>
          <w:tcPr>
            <w:tcW w:w="873" w:type="dxa"/>
            <w:vAlign w:val="center"/>
          </w:tcPr>
          <w:p w:rsidR="00CA4517" w:rsidRPr="00214B1E" w:rsidRDefault="00CA4517" w:rsidP="00CA4517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t>52</w:t>
            </w:r>
          </w:p>
        </w:tc>
        <w:tc>
          <w:tcPr>
            <w:tcW w:w="1183" w:type="dxa"/>
            <w:vAlign w:val="center"/>
          </w:tcPr>
          <w:p w:rsidR="00CA4517" w:rsidRPr="007E4AAA" w:rsidRDefault="00CA4517" w:rsidP="00CA4517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4 642,21</w:t>
            </w:r>
          </w:p>
        </w:tc>
        <w:tc>
          <w:tcPr>
            <w:tcW w:w="1321" w:type="dxa"/>
            <w:vAlign w:val="center"/>
          </w:tcPr>
          <w:p w:rsidR="00CA4517" w:rsidRPr="004638C0" w:rsidRDefault="00CA4517" w:rsidP="00CA4517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241 394,92</w:t>
            </w:r>
          </w:p>
        </w:tc>
      </w:tr>
      <w:tr w:rsidR="00CA4517" w:rsidRPr="00831E5C" w:rsidTr="00AB31C0">
        <w:trPr>
          <w:jc w:val="center"/>
        </w:trPr>
        <w:tc>
          <w:tcPr>
            <w:tcW w:w="514" w:type="dxa"/>
            <w:vAlign w:val="center"/>
          </w:tcPr>
          <w:p w:rsidR="00CA4517" w:rsidRPr="00831E5C" w:rsidRDefault="00CA4517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vAlign w:val="center"/>
          </w:tcPr>
          <w:p w:rsidR="00CA4517" w:rsidRPr="00831E5C" w:rsidRDefault="00BF3CB0" w:rsidP="00CA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21-01-26</w:t>
            </w:r>
          </w:p>
        </w:tc>
        <w:tc>
          <w:tcPr>
            <w:tcW w:w="1566" w:type="dxa"/>
          </w:tcPr>
          <w:p w:rsidR="00CA4517" w:rsidRDefault="00CA4517" w:rsidP="00CA4517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="00BF3CB0">
              <w:rPr>
                <w:sz w:val="20"/>
                <w:szCs w:val="20"/>
              </w:rPr>
              <w:t xml:space="preserve"> – </w:t>
            </w:r>
            <w:r w:rsidR="00BF3CB0" w:rsidRPr="00CA4517">
              <w:rPr>
                <w:sz w:val="20"/>
                <w:szCs w:val="20"/>
              </w:rPr>
              <w:t>Катетер мочеточниковый для уретерокутанеостомы</w:t>
            </w:r>
          </w:p>
        </w:tc>
        <w:tc>
          <w:tcPr>
            <w:tcW w:w="3951" w:type="dxa"/>
            <w:vAlign w:val="center"/>
          </w:tcPr>
          <w:p w:rsidR="00CA4517" w:rsidRPr="00CA4517" w:rsidRDefault="00CA4517" w:rsidP="00CA4517">
            <w:pPr>
              <w:jc w:val="both"/>
              <w:rPr>
                <w:sz w:val="20"/>
                <w:szCs w:val="20"/>
              </w:rPr>
            </w:pPr>
            <w:r w:rsidRPr="00CA4517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CA4517">
              <w:rPr>
                <w:sz w:val="20"/>
                <w:szCs w:val="20"/>
              </w:rPr>
              <w:t>уретерокутанеостомы</w:t>
            </w:r>
            <w:proofErr w:type="spellEnd"/>
            <w:r w:rsidRPr="00CA4517">
              <w:rPr>
                <w:sz w:val="20"/>
                <w:szCs w:val="20"/>
              </w:rPr>
              <w:t xml:space="preserve">, должен иметь одну петлю, длина катетера должна быть не менее 45 см, катетер должен иметь круглый фланец. Катетер мочеточниковый для </w:t>
            </w:r>
            <w:proofErr w:type="spellStart"/>
            <w:r w:rsidRPr="00CA4517">
              <w:rPr>
                <w:sz w:val="20"/>
                <w:szCs w:val="20"/>
              </w:rPr>
              <w:t>уретерокутанеостомы</w:t>
            </w:r>
            <w:proofErr w:type="spellEnd"/>
            <w:r w:rsidRPr="00CA4517">
              <w:rPr>
                <w:sz w:val="20"/>
                <w:szCs w:val="20"/>
              </w:rPr>
              <w:t xml:space="preserve"> должен быть изготовлен из мягкого латекса или силикона.  Катетер должен иметь не менее трех типоразмеров (по шкале </w:t>
            </w:r>
            <w:proofErr w:type="spellStart"/>
            <w:r w:rsidRPr="00CA4517">
              <w:rPr>
                <w:sz w:val="20"/>
                <w:szCs w:val="20"/>
              </w:rPr>
              <w:t>Шарьера</w:t>
            </w:r>
            <w:proofErr w:type="spellEnd"/>
            <w:r w:rsidRPr="00CA4517">
              <w:rPr>
                <w:sz w:val="20"/>
                <w:szCs w:val="20"/>
              </w:rPr>
              <w:t xml:space="preserve">) в диапазоне от размера 08 до размера </w:t>
            </w:r>
            <w:proofErr w:type="gramStart"/>
            <w:r w:rsidRPr="00CA4517">
              <w:rPr>
                <w:sz w:val="20"/>
                <w:szCs w:val="20"/>
              </w:rPr>
              <w:t>12 .</w:t>
            </w:r>
            <w:proofErr w:type="gramEnd"/>
          </w:p>
        </w:tc>
        <w:tc>
          <w:tcPr>
            <w:tcW w:w="873" w:type="dxa"/>
            <w:vAlign w:val="center"/>
          </w:tcPr>
          <w:p w:rsidR="00CA4517" w:rsidRPr="00214B1E" w:rsidRDefault="00CA4517" w:rsidP="00CA4517">
            <w:pPr>
              <w:jc w:val="center"/>
              <w:rPr>
                <w:sz w:val="22"/>
                <w:szCs w:val="22"/>
              </w:rPr>
            </w:pPr>
            <w:r w:rsidRPr="00214B1E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vAlign w:val="center"/>
          </w:tcPr>
          <w:p w:rsidR="00CA4517" w:rsidRPr="007E4AAA" w:rsidRDefault="00CA4517" w:rsidP="00CA4517">
            <w:pPr>
              <w:jc w:val="center"/>
              <w:rPr>
                <w:sz w:val="22"/>
                <w:szCs w:val="22"/>
              </w:rPr>
            </w:pPr>
            <w:r w:rsidRPr="007E4AAA">
              <w:rPr>
                <w:sz w:val="22"/>
                <w:szCs w:val="22"/>
              </w:rPr>
              <w:t>6 481,77</w:t>
            </w:r>
          </w:p>
        </w:tc>
        <w:tc>
          <w:tcPr>
            <w:tcW w:w="1321" w:type="dxa"/>
            <w:vAlign w:val="center"/>
          </w:tcPr>
          <w:p w:rsidR="00CA4517" w:rsidRPr="004638C0" w:rsidRDefault="00CA4517" w:rsidP="00CA4517">
            <w:pPr>
              <w:jc w:val="center"/>
              <w:rPr>
                <w:sz w:val="20"/>
                <w:szCs w:val="20"/>
              </w:rPr>
            </w:pPr>
            <w:r w:rsidRPr="004638C0">
              <w:rPr>
                <w:sz w:val="20"/>
                <w:szCs w:val="20"/>
              </w:rPr>
              <w:t>38 890,62</w:t>
            </w:r>
          </w:p>
        </w:tc>
      </w:tr>
      <w:tr w:rsidR="00D717CE" w:rsidRPr="00831E5C" w:rsidTr="009054F6">
        <w:trPr>
          <w:jc w:val="center"/>
        </w:trPr>
        <w:tc>
          <w:tcPr>
            <w:tcW w:w="514" w:type="dxa"/>
            <w:vAlign w:val="center"/>
          </w:tcPr>
          <w:p w:rsidR="00D717CE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D717CE" w:rsidRPr="00C752D9" w:rsidRDefault="00C752D9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D717CE" w:rsidRPr="00C752D9" w:rsidRDefault="008E7976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49089</w:t>
            </w:r>
          </w:p>
        </w:tc>
        <w:tc>
          <w:tcPr>
            <w:tcW w:w="1183" w:type="dxa"/>
            <w:vAlign w:val="center"/>
          </w:tcPr>
          <w:p w:rsidR="00D717CE" w:rsidRPr="00DF5B9D" w:rsidRDefault="00DF5B9D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D717CE" w:rsidRPr="00822A87" w:rsidRDefault="008E7976" w:rsidP="00905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638C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492</w:t>
            </w:r>
            <w:r w:rsidR="004638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389,6</w:t>
            </w:r>
            <w:r w:rsidR="00822A87" w:rsidRPr="00822A87">
              <w:rPr>
                <w:b/>
                <w:sz w:val="20"/>
                <w:szCs w:val="20"/>
              </w:rPr>
              <w:t>0</w:t>
            </w:r>
          </w:p>
        </w:tc>
      </w:tr>
    </w:tbl>
    <w:p w:rsidR="00511FA7" w:rsidRDefault="00D1786D" w:rsidP="00E8451C">
      <w:pPr>
        <w:shd w:val="clear" w:color="auto" w:fill="FFFFFF"/>
        <w:ind w:firstLine="709"/>
        <w:jc w:val="both"/>
        <w:rPr>
          <w:szCs w:val="23"/>
        </w:rPr>
      </w:pPr>
      <w:r>
        <w:t>Специальные средства при нарушении функций выделения должны иметь</w:t>
      </w:r>
      <w:r w:rsidR="00511FA7">
        <w:t xml:space="preserve"> </w:t>
      </w:r>
      <w:r w:rsidR="00511FA7" w:rsidRPr="007C625C">
        <w:t>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="00511FA7"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 w:rsidR="00511FA7">
        <w:rPr>
          <w:szCs w:val="23"/>
        </w:rPr>
        <w:t xml:space="preserve"> </w:t>
      </w:r>
      <w:r w:rsidR="00511FA7" w:rsidRPr="007C625C">
        <w:rPr>
          <w:szCs w:val="23"/>
        </w:rPr>
        <w:t>г</w:t>
      </w:r>
      <w:r w:rsidR="00511FA7">
        <w:rPr>
          <w:szCs w:val="23"/>
        </w:rPr>
        <w:t>ода</w:t>
      </w:r>
      <w:r w:rsidR="00511FA7" w:rsidRPr="007C625C">
        <w:rPr>
          <w:szCs w:val="23"/>
        </w:rPr>
        <w:t xml:space="preserve"> №</w:t>
      </w:r>
      <w:r w:rsidR="00511FA7">
        <w:rPr>
          <w:szCs w:val="23"/>
        </w:rPr>
        <w:t xml:space="preserve"> </w:t>
      </w:r>
      <w:r w:rsidR="00511FA7" w:rsidRPr="007C625C">
        <w:rPr>
          <w:szCs w:val="23"/>
        </w:rPr>
        <w:t>1416 «Об утверждении Правил государственной р</w:t>
      </w:r>
      <w:r w:rsidR="00511FA7">
        <w:rPr>
          <w:szCs w:val="23"/>
        </w:rPr>
        <w:t xml:space="preserve">егистрации медицинских изделий», а также </w:t>
      </w:r>
      <w:r w:rsidR="00511FA7" w:rsidRPr="00EE50DD">
        <w:rPr>
          <w:szCs w:val="23"/>
        </w:rPr>
        <w:t>действующие декларации о соответствии и (или) сертификаты соответствия, которые считаются действительными согласно Поста</w:t>
      </w:r>
      <w:r w:rsidR="00511FA7">
        <w:rPr>
          <w:szCs w:val="23"/>
        </w:rPr>
        <w:t xml:space="preserve">новлению Правительства </w:t>
      </w:r>
      <w:r w:rsidR="00511FA7" w:rsidRPr="007C625C">
        <w:rPr>
          <w:szCs w:val="23"/>
        </w:rPr>
        <w:t>Российской Федерации</w:t>
      </w:r>
      <w:r w:rsidR="00511FA7">
        <w:rPr>
          <w:szCs w:val="23"/>
        </w:rPr>
        <w:t xml:space="preserve"> от 01 декабря </w:t>
      </w:r>
      <w:r w:rsidR="00511FA7" w:rsidRPr="00EE50DD">
        <w:rPr>
          <w:szCs w:val="23"/>
        </w:rPr>
        <w:t>2009</w:t>
      </w:r>
      <w:r w:rsidR="00511FA7">
        <w:rPr>
          <w:szCs w:val="23"/>
        </w:rPr>
        <w:t xml:space="preserve"> </w:t>
      </w:r>
      <w:r w:rsidR="00511FA7" w:rsidRPr="00EE50DD">
        <w:rPr>
          <w:szCs w:val="23"/>
        </w:rPr>
        <w:t>г</w:t>
      </w:r>
      <w:r w:rsidR="00511FA7">
        <w:rPr>
          <w:szCs w:val="23"/>
        </w:rPr>
        <w:t xml:space="preserve">ода </w:t>
      </w:r>
      <w:r w:rsidR="00511FA7" w:rsidRPr="00EE50DD">
        <w:rPr>
          <w:szCs w:val="23"/>
        </w:rPr>
        <w:t xml:space="preserve">№ 982 </w:t>
      </w:r>
      <w:r w:rsidR="00511FA7">
        <w:t>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="00511FA7" w:rsidRPr="00EE50DD">
        <w:rPr>
          <w:szCs w:val="23"/>
        </w:rPr>
        <w:t>.</w:t>
      </w:r>
    </w:p>
    <w:p w:rsidR="00D1786D" w:rsidRDefault="00511FA7" w:rsidP="00D1786D">
      <w:pPr>
        <w:pStyle w:val="2-11"/>
        <w:spacing w:after="0"/>
        <w:ind w:firstLine="709"/>
      </w:pPr>
      <w:r w:rsidRPr="00555BA8">
        <w:t>В случае если в период срока действия государственного контракта истек срок их действия, заверенные надлежащим образом</w:t>
      </w:r>
      <w:r>
        <w:t>,</w:t>
      </w:r>
      <w:r w:rsidRPr="00555BA8">
        <w:t xml:space="preserve"> копии нов</w:t>
      </w:r>
      <w:r>
        <w:t>ых</w:t>
      </w:r>
      <w:r w:rsidRPr="00555BA8">
        <w:t xml:space="preserve"> регистрационн</w:t>
      </w:r>
      <w:r>
        <w:t>ых удостоверений</w:t>
      </w:r>
      <w:r w:rsidRPr="00555BA8">
        <w:t xml:space="preserve"> и деклараци</w:t>
      </w:r>
      <w:r>
        <w:t>й</w:t>
      </w:r>
      <w:r w:rsidRPr="00555BA8">
        <w:t xml:space="preserve"> о соответствии предоставляются вместе с отчётной документацией для оплаты</w:t>
      </w:r>
      <w:r>
        <w:t xml:space="preserve"> поставленного Товара.</w:t>
      </w:r>
    </w:p>
    <w:p w:rsidR="00321DDB" w:rsidRDefault="00321DDB" w:rsidP="00D1786D">
      <w:pPr>
        <w:pStyle w:val="2-11"/>
        <w:spacing w:after="0"/>
        <w:ind w:firstLine="709"/>
      </w:pPr>
      <w:proofErr w:type="gramStart"/>
      <w:r>
        <w:lastRenderedPageBreak/>
        <w:t>Сырье и материалы</w:t>
      </w:r>
      <w:proofErr w:type="gramEnd"/>
      <w:r>
        <w:t xml:space="preserve"> применяемые для изготовления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321DDB" w:rsidRDefault="00321DDB" w:rsidP="00321DDB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инвалида (дома, квартиры). </w:t>
      </w:r>
    </w:p>
    <w:p w:rsidR="00321DDB" w:rsidRDefault="00321DDB" w:rsidP="00321DDB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при нарушениях функций выделения </w:t>
      </w:r>
      <w:r>
        <w:rPr>
          <w:szCs w:val="23"/>
        </w:rPr>
        <w:t>должна включать:</w:t>
      </w:r>
    </w:p>
    <w:p w:rsidR="00321DDB" w:rsidRDefault="00321DDB" w:rsidP="00321DDB">
      <w:pPr>
        <w:numPr>
          <w:ilvl w:val="0"/>
          <w:numId w:val="1"/>
        </w:numPr>
        <w:jc w:val="both"/>
      </w:pPr>
      <w:r>
        <w:t>товарный знак, установленный для предприятия изготовителя (при наличии);</w:t>
      </w:r>
    </w:p>
    <w:p w:rsidR="00321DDB" w:rsidRDefault="00321DDB" w:rsidP="00321DDB">
      <w:pPr>
        <w:numPr>
          <w:ilvl w:val="0"/>
          <w:numId w:val="1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321DDB" w:rsidRDefault="00321DDB" w:rsidP="00321DDB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срок годности (при наличии);</w:t>
      </w:r>
    </w:p>
    <w:p w:rsidR="00321DDB" w:rsidRDefault="00321DDB" w:rsidP="00321DDB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штриховой код изделия (при наличии).</w:t>
      </w:r>
    </w:p>
    <w:p w:rsidR="00321DDB" w:rsidRDefault="00321DDB" w:rsidP="00321DDB">
      <w:pPr>
        <w:ind w:firstLine="360"/>
        <w:jc w:val="both"/>
        <w:rPr>
          <w:szCs w:val="23"/>
        </w:rPr>
      </w:pPr>
      <w:r>
        <w:rPr>
          <w:szCs w:val="28"/>
        </w:rPr>
        <w:t>Упаковка специальных средств при нарушениях функций выделения</w:t>
      </w:r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321DDB" w:rsidRPr="00E13EDD" w:rsidRDefault="00321DDB" w:rsidP="00321DDB">
      <w:pPr>
        <w:ind w:firstLine="420"/>
        <w:jc w:val="both"/>
      </w:pPr>
      <w:r>
        <w:t xml:space="preserve">Транспортировка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 xml:space="preserve">должна </w:t>
      </w:r>
      <w:proofErr w:type="gramStart"/>
      <w:r>
        <w:t>осуществляться  любым</w:t>
      </w:r>
      <w:proofErr w:type="gramEnd"/>
      <w: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321DDB" w:rsidRDefault="00321DDB" w:rsidP="00321DDB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>средствами при нарушениях функций выделения</w:t>
      </w:r>
      <w:r>
        <w:rPr>
          <w:color w:val="000000"/>
        </w:rPr>
        <w:t>.</w:t>
      </w:r>
    </w:p>
    <w:p w:rsidR="00321DDB" w:rsidRDefault="00321DDB" w:rsidP="00321DDB">
      <w:pPr>
        <w:ind w:firstLine="420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321DDB" w:rsidRDefault="00321DDB" w:rsidP="00321DDB">
      <w:pPr>
        <w:widowControl w:val="0"/>
        <w:ind w:firstLine="420"/>
        <w:jc w:val="both"/>
        <w:rPr>
          <w:szCs w:val="26"/>
        </w:rPr>
      </w:pPr>
      <w:r>
        <w:t>С</w:t>
      </w:r>
      <w:r w:rsidRPr="00522C87">
        <w:t>пециальны</w:t>
      </w:r>
      <w:r>
        <w:t>е</w:t>
      </w:r>
      <w:r w:rsidRPr="00522C87">
        <w:t xml:space="preserve"> средств</w:t>
      </w:r>
      <w:r>
        <w:t>а</w:t>
      </w:r>
      <w:r w:rsidRPr="00522C87">
        <w:t xml:space="preserve"> </w:t>
      </w:r>
      <w:r>
        <w:rPr>
          <w:szCs w:val="28"/>
        </w:rPr>
        <w:t>при нарушениях функций выделения</w:t>
      </w:r>
      <w:r>
        <w:rPr>
          <w:spacing w:val="-4"/>
        </w:rP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21DDB" w:rsidRDefault="00321DDB" w:rsidP="00321DDB">
      <w:pPr>
        <w:ind w:firstLine="420"/>
        <w:jc w:val="both"/>
      </w:pPr>
      <w:r>
        <w:t xml:space="preserve">В случае предъявления претензий инвалидов к качеству полученных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, Поставщик в течение 10 (Десяти) рабочих дней со дня обращения инвалида обязан произвести замену имеющих недостатки или дефекты (брак)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на аналогичные надлежащего качества. Замена должна производиться Поставщиком за счет собственных средств по месту жительства инвалида (дом, квартира).</w:t>
      </w:r>
    </w:p>
    <w:p w:rsidR="00321DDB" w:rsidRDefault="00321DDB" w:rsidP="00321DDB">
      <w:pPr>
        <w:ind w:firstLine="420"/>
        <w:jc w:val="both"/>
        <w:rPr>
          <w:szCs w:val="23"/>
        </w:rPr>
      </w:pPr>
      <w:r>
        <w:t xml:space="preserve">Копии действующих деклараций о соответствии и (или) сертификатов соответствия, которые считаются действительными согласно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должны предоставляться </w:t>
      </w:r>
      <w:r>
        <w:rPr>
          <w:szCs w:val="23"/>
        </w:rPr>
        <w:t>Заказчику в течение 3 (Трех) рабочих дней со дня заключения государственного контракта.</w:t>
      </w:r>
    </w:p>
    <w:p w:rsidR="00321DDB" w:rsidRPr="004D63AA" w:rsidRDefault="00321DDB" w:rsidP="00321DDB">
      <w:pPr>
        <w:ind w:firstLine="420"/>
        <w:jc w:val="both"/>
        <w:rPr>
          <w:u w:val="single"/>
        </w:rPr>
      </w:pPr>
      <w:r w:rsidRPr="004D63AA">
        <w:rPr>
          <w:u w:val="single"/>
        </w:rPr>
        <w:t>Условия исполнения контракта.</w:t>
      </w:r>
    </w:p>
    <w:p w:rsidR="00321DDB" w:rsidRPr="008F168E" w:rsidRDefault="00321DDB" w:rsidP="00321DDB">
      <w:pPr>
        <w:widowControl w:val="0"/>
        <w:ind w:firstLine="420"/>
        <w:jc w:val="both"/>
      </w:pPr>
      <w:r w:rsidRPr="00991E04">
        <w:t>По</w:t>
      </w:r>
      <w:r>
        <w:t>ставка должна</w:t>
      </w:r>
      <w:r w:rsidRPr="00991E04">
        <w:t xml:space="preserve"> быть осуществлена до места жительства (дом, квартира) инвалида </w:t>
      </w:r>
      <w:r w:rsidRPr="008839E8">
        <w:t xml:space="preserve">в течение </w:t>
      </w:r>
      <w:r>
        <w:t>20 (</w:t>
      </w:r>
      <w:proofErr w:type="gramStart"/>
      <w:r>
        <w:t>Д</w:t>
      </w:r>
      <w:r w:rsidRPr="008839E8">
        <w:t>вадцати)  календарных</w:t>
      </w:r>
      <w:proofErr w:type="gramEnd"/>
      <w:r w:rsidRPr="008839E8">
        <w:t xml:space="preserve"> дней со дня получения списка </w:t>
      </w:r>
      <w:r>
        <w:t>инвалидов</w:t>
      </w:r>
      <w:r w:rsidRPr="008839E8">
        <w:t xml:space="preserve">, которым Заказчик выдал направления, а в случае отсутствия </w:t>
      </w:r>
      <w:r>
        <w:t>инвалида в списке, в течение 20 (Д</w:t>
      </w:r>
      <w:r w:rsidRPr="008839E8">
        <w:t xml:space="preserve">вадцати) календарных дней со дня получения от </w:t>
      </w:r>
      <w:r>
        <w:t>инвалида</w:t>
      </w:r>
      <w:r w:rsidRPr="008839E8">
        <w:t xml:space="preserve"> направления Заказчика</w:t>
      </w:r>
      <w:r>
        <w:t xml:space="preserve">. </w:t>
      </w:r>
      <w:r w:rsidRPr="00A82D47">
        <w:rPr>
          <w:szCs w:val="26"/>
        </w:rPr>
        <w:t>Направление</w:t>
      </w:r>
      <w:r>
        <w:rPr>
          <w:szCs w:val="26"/>
        </w:rPr>
        <w:t xml:space="preserve"> может быть передано Поставщику инвалидом либо лицом, представляющим </w:t>
      </w:r>
      <w:r>
        <w:rPr>
          <w:szCs w:val="26"/>
        </w:rPr>
        <w:lastRenderedPageBreak/>
        <w:t>его интересы.</w:t>
      </w:r>
    </w:p>
    <w:p w:rsidR="00321DDB" w:rsidRDefault="00321DDB" w:rsidP="00321DDB">
      <w:pPr>
        <w:ind w:firstLine="420"/>
        <w:jc w:val="both"/>
        <w:rPr>
          <w:bCs/>
        </w:rPr>
      </w:pPr>
      <w:r>
        <w:t xml:space="preserve">О предстоящей поставке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rPr>
          <w:bCs/>
        </w:rPr>
        <w:t>инвалид должен быть уведомлен Поставщиком не позднее, чем за 2 (Два) дня до предполагаемой даты поставки.</w:t>
      </w:r>
    </w:p>
    <w:p w:rsidR="00321DDB" w:rsidRDefault="00321DDB" w:rsidP="00321DDB">
      <w:pPr>
        <w:pStyle w:val="2-11"/>
        <w:widowControl w:val="0"/>
        <w:autoSpaceDE w:val="0"/>
        <w:autoSpaceDN w:val="0"/>
        <w:adjustRightInd w:val="0"/>
        <w:spacing w:after="0"/>
        <w:ind w:firstLine="420"/>
      </w:pPr>
      <w:r>
        <w:t xml:space="preserve">В случае привлечения Поставщиком к исполнению обязанностей по государственному контракту третьего лица, Поставщик должен при заключении государственного контракта предоставить Заказчику доверенность, </w:t>
      </w:r>
      <w:proofErr w:type="gramStart"/>
      <w:r>
        <w:t>подтверждающую  право</w:t>
      </w:r>
      <w:proofErr w:type="gramEnd"/>
      <w:r>
        <w:t xml:space="preserve"> третьего лица действовать от имени Поставщика. При этом ответственность за выполнение государственного контракта несет Поставщик.</w:t>
      </w:r>
    </w:p>
    <w:p w:rsidR="00321DDB" w:rsidRDefault="00321DDB" w:rsidP="00321DDB">
      <w:pPr>
        <w:pStyle w:val="2-11"/>
        <w:widowControl w:val="0"/>
        <w:autoSpaceDE w:val="0"/>
        <w:spacing w:after="0"/>
        <w:ind w:firstLine="420"/>
        <w:rPr>
          <w:u w:val="single"/>
        </w:rPr>
      </w:pPr>
      <w:bookmarkStart w:id="0" w:name="_GoBack"/>
      <w:bookmarkEnd w:id="0"/>
      <w:r>
        <w:rPr>
          <w:u w:val="single"/>
        </w:rPr>
        <w:t>Место доставки товара.</w:t>
      </w:r>
    </w:p>
    <w:p w:rsidR="00321DDB" w:rsidRDefault="00321DDB" w:rsidP="00321DDB">
      <w:pPr>
        <w:pStyle w:val="2-11"/>
        <w:widowControl w:val="0"/>
        <w:autoSpaceDE w:val="0"/>
        <w:spacing w:after="0"/>
        <w:ind w:firstLine="420"/>
      </w:pPr>
      <w:r>
        <w:t xml:space="preserve">г. Санкт-Петербург и Ленинградская область. </w:t>
      </w:r>
    </w:p>
    <w:p w:rsidR="00B9177D" w:rsidRPr="009861E2" w:rsidRDefault="00B9177D" w:rsidP="00321DDB">
      <w:pPr>
        <w:pStyle w:val="2-11"/>
        <w:widowControl w:val="0"/>
        <w:autoSpaceDE w:val="0"/>
        <w:spacing w:after="0"/>
        <w:ind w:firstLine="420"/>
      </w:pPr>
      <w:r w:rsidRPr="00321DDB">
        <w:rPr>
          <w:u w:val="single"/>
        </w:rPr>
        <w:t>Срок поставки товара</w:t>
      </w:r>
      <w:r>
        <w:t xml:space="preserve"> –</w:t>
      </w:r>
      <w:r w:rsidRPr="009861E2">
        <w:t xml:space="preserve"> </w:t>
      </w:r>
      <w:r>
        <w:t>0</w:t>
      </w:r>
      <w:r w:rsidR="00854086">
        <w:t>3</w:t>
      </w:r>
      <w:r w:rsidRPr="009861E2">
        <w:t xml:space="preserve"> декабря 2018 года.</w:t>
      </w:r>
    </w:p>
    <w:p w:rsidR="00B9177D" w:rsidRPr="00D51015" w:rsidRDefault="00B9177D" w:rsidP="00E8451C">
      <w:pPr>
        <w:tabs>
          <w:tab w:val="left" w:pos="9724"/>
        </w:tabs>
        <w:ind w:firstLine="709"/>
        <w:jc w:val="both"/>
        <w:rPr>
          <w:color w:val="000000"/>
        </w:rPr>
      </w:pPr>
    </w:p>
    <w:p w:rsidR="00B926E5" w:rsidRDefault="00B926E5"/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CF" w:rsidRDefault="00E443CF" w:rsidP="006736CC">
      <w:r>
        <w:separator/>
      </w:r>
    </w:p>
  </w:endnote>
  <w:endnote w:type="continuationSeparator" w:id="0">
    <w:p w:rsidR="00E443CF" w:rsidRDefault="00E443CF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CF" w:rsidRDefault="00E443CF" w:rsidP="006736CC">
      <w:r>
        <w:separator/>
      </w:r>
    </w:p>
  </w:footnote>
  <w:footnote w:type="continuationSeparator" w:id="0">
    <w:p w:rsidR="00E443CF" w:rsidRDefault="00E443CF" w:rsidP="006736CC">
      <w:r>
        <w:continuationSeparator/>
      </w:r>
    </w:p>
  </w:footnote>
  <w:footnote w:id="1">
    <w:p w:rsidR="006736CC" w:rsidRPr="005711B6" w:rsidRDefault="006736CC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E"/>
    <w:rsid w:val="00094C44"/>
    <w:rsid w:val="000B3D8E"/>
    <w:rsid w:val="000D58B8"/>
    <w:rsid w:val="000E04DF"/>
    <w:rsid w:val="001134C1"/>
    <w:rsid w:val="00134AF7"/>
    <w:rsid w:val="00154626"/>
    <w:rsid w:val="00165CB0"/>
    <w:rsid w:val="001A2EDF"/>
    <w:rsid w:val="00214B1E"/>
    <w:rsid w:val="00224504"/>
    <w:rsid w:val="002B6871"/>
    <w:rsid w:val="00321DDB"/>
    <w:rsid w:val="004571AF"/>
    <w:rsid w:val="004638C0"/>
    <w:rsid w:val="00483262"/>
    <w:rsid w:val="00511FA7"/>
    <w:rsid w:val="00641ADB"/>
    <w:rsid w:val="006736CC"/>
    <w:rsid w:val="00691C47"/>
    <w:rsid w:val="007746BC"/>
    <w:rsid w:val="007E4AAA"/>
    <w:rsid w:val="00822A87"/>
    <w:rsid w:val="00854086"/>
    <w:rsid w:val="008D27D5"/>
    <w:rsid w:val="008E7976"/>
    <w:rsid w:val="00947BC5"/>
    <w:rsid w:val="009550CB"/>
    <w:rsid w:val="009C1A62"/>
    <w:rsid w:val="00A41445"/>
    <w:rsid w:val="00A475AE"/>
    <w:rsid w:val="00A6439E"/>
    <w:rsid w:val="00A96666"/>
    <w:rsid w:val="00A97BE5"/>
    <w:rsid w:val="00B856BB"/>
    <w:rsid w:val="00B9177D"/>
    <w:rsid w:val="00B926E5"/>
    <w:rsid w:val="00BF3CB0"/>
    <w:rsid w:val="00C14BB8"/>
    <w:rsid w:val="00C54BDF"/>
    <w:rsid w:val="00C752D9"/>
    <w:rsid w:val="00CA4517"/>
    <w:rsid w:val="00D1786D"/>
    <w:rsid w:val="00D717CE"/>
    <w:rsid w:val="00DF5B9D"/>
    <w:rsid w:val="00E316DF"/>
    <w:rsid w:val="00E443CF"/>
    <w:rsid w:val="00E6088B"/>
    <w:rsid w:val="00E8451C"/>
    <w:rsid w:val="00EE4077"/>
    <w:rsid w:val="00F04FB0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C621-5092-4052-9794-A5AA179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1EBF-0EB7-40C8-943B-F4281B75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50</cp:revision>
  <dcterms:created xsi:type="dcterms:W3CDTF">2018-07-20T08:29:00Z</dcterms:created>
  <dcterms:modified xsi:type="dcterms:W3CDTF">2018-07-25T06:35:00Z</dcterms:modified>
</cp:coreProperties>
</file>