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2018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</w:p>
    <w:p w:rsidR="00A5252B" w:rsidRDefault="00F847E6" w:rsidP="00726309">
      <w:pPr>
        <w:ind w:firstLine="567"/>
        <w:jc w:val="both"/>
        <w:rPr>
          <w:sz w:val="24"/>
          <w:szCs w:val="24"/>
        </w:rPr>
      </w:pPr>
      <w:r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18216A" w:rsidRDefault="0018216A" w:rsidP="0018216A">
      <w:pPr>
        <w:widowControl/>
        <w:suppressAutoHyphens w:val="0"/>
        <w:autoSpaceDE/>
        <w:snapToGrid w:val="0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p w:rsidR="00652C3B" w:rsidRDefault="00652C3B" w:rsidP="00726309">
      <w:pPr>
        <w:suppressAutoHyphens w:val="0"/>
        <w:ind w:firstLine="709"/>
        <w:jc w:val="both"/>
        <w:rPr>
          <w:sz w:val="24"/>
        </w:rPr>
      </w:pP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652C3B" w:rsidP="0018216A">
            <w:pPr>
              <w:jc w:val="center"/>
            </w:pPr>
            <w:r>
              <w:t>6600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18216A" w:rsidRDefault="0018216A" w:rsidP="0018216A">
            <w:pPr>
              <w:jc w:val="center"/>
              <w:rPr>
                <w:bCs/>
                <w:sz w:val="24"/>
              </w:rPr>
            </w:pPr>
          </w:p>
          <w:p w:rsidR="0018216A" w:rsidRPr="0018216A" w:rsidRDefault="0018216A" w:rsidP="0018216A">
            <w:pPr>
              <w:jc w:val="center"/>
              <w:rPr>
                <w:bCs/>
                <w:sz w:val="24"/>
              </w:rPr>
            </w:pPr>
            <w:r w:rsidRPr="0018216A">
              <w:rPr>
                <w:bCs/>
                <w:sz w:val="24"/>
              </w:rPr>
              <w:t xml:space="preserve">ОКПД2: </w:t>
            </w:r>
            <w:r w:rsidRPr="0018216A">
              <w:rPr>
                <w:sz w:val="24"/>
                <w:lang w:eastAsia="ko-KR"/>
              </w:rPr>
              <w:t>17.22.12.130</w:t>
            </w:r>
          </w:p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652C3B" w:rsidP="0018216A">
            <w:pPr>
              <w:jc w:val="center"/>
              <w:rPr>
                <w:bCs/>
              </w:rPr>
            </w:pPr>
            <w:r>
              <w:t>3150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652C3B" w:rsidP="0018216A">
            <w:pPr>
              <w:jc w:val="center"/>
            </w:pPr>
            <w:r>
              <w:t>34700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652C3B" w:rsidP="0018216A">
            <w:pPr>
              <w:jc w:val="center"/>
              <w:rPr>
                <w:bCs/>
              </w:rPr>
            </w:pPr>
            <w:r>
              <w:t>25500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</w:rPr>
            </w:pPr>
            <w:r>
              <w:rPr>
                <w:bCs/>
              </w:rPr>
              <w:t>46850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652C3B" w:rsidP="0018216A">
            <w:pPr>
              <w:jc w:val="center"/>
              <w:rPr>
                <w:bCs/>
              </w:rPr>
            </w:pPr>
            <w:r>
              <w:rPr>
                <w:bCs/>
              </w:rPr>
              <w:t>19840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</w:rPr>
            </w:pPr>
            <w:r>
              <w:rPr>
                <w:bCs/>
              </w:rPr>
              <w:t>7700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652C3B" w:rsidP="0018216A">
            <w:pPr>
              <w:jc w:val="center"/>
              <w:rPr>
                <w:bCs/>
              </w:rPr>
            </w:pPr>
            <w:r>
              <w:rPr>
                <w:bCs/>
              </w:rPr>
              <w:t>8200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152540</w:t>
            </w:r>
          </w:p>
        </w:tc>
      </w:tr>
    </w:tbl>
    <w:p w:rsidR="008B2B35" w:rsidRDefault="008B2B35" w:rsidP="0018216A"/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Место поставки товара:</w:t>
      </w:r>
      <w:r w:rsidRPr="0018216A">
        <w:rPr>
          <w:sz w:val="24"/>
          <w:szCs w:val="24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с момента заключения государственного контракта </w:t>
      </w:r>
      <w:r w:rsidRPr="0018216A">
        <w:rPr>
          <w:sz w:val="24"/>
          <w:szCs w:val="24"/>
          <w:u w:val="single"/>
        </w:rPr>
        <w:t>до 10 декабря 2018 года</w:t>
      </w:r>
      <w:r w:rsidRPr="0018216A">
        <w:rPr>
          <w:sz w:val="24"/>
          <w:szCs w:val="24"/>
        </w:rPr>
        <w:t>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Поставщик поставляет и самостоятельно за свой счёт осуществляет транспортировку товара. Поставка товара осуществляется в порядке, объёме и сроки установленные Государственным контрактом и Документацией.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</w:p>
    <w:p w:rsidR="0018216A" w:rsidRPr="0018216A" w:rsidRDefault="0018216A" w:rsidP="0018216A">
      <w:pPr>
        <w:jc w:val="both"/>
        <w:rPr>
          <w:sz w:val="24"/>
          <w:szCs w:val="24"/>
        </w:rPr>
      </w:pP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6A" w:rsidRDefault="0018216A" w:rsidP="0018216A">
      <w:r>
        <w:separator/>
      </w:r>
    </w:p>
  </w:endnote>
  <w:endnote w:type="continuationSeparator" w:id="0">
    <w:p w:rsidR="0018216A" w:rsidRDefault="0018216A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6A" w:rsidRDefault="0018216A" w:rsidP="0018216A">
      <w:r>
        <w:separator/>
      </w:r>
    </w:p>
  </w:footnote>
  <w:footnote w:type="continuationSeparator" w:id="0">
    <w:p w:rsidR="0018216A" w:rsidRDefault="0018216A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676F"/>
    <w:rsid w:val="00063B2D"/>
    <w:rsid w:val="0007431E"/>
    <w:rsid w:val="000D089E"/>
    <w:rsid w:val="0012498E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404A2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E3A5A"/>
    <w:rsid w:val="0051005A"/>
    <w:rsid w:val="00521574"/>
    <w:rsid w:val="00546226"/>
    <w:rsid w:val="005D6AEC"/>
    <w:rsid w:val="006039F0"/>
    <w:rsid w:val="0061475F"/>
    <w:rsid w:val="00637838"/>
    <w:rsid w:val="006441CA"/>
    <w:rsid w:val="00652C3B"/>
    <w:rsid w:val="00667053"/>
    <w:rsid w:val="006E1AE9"/>
    <w:rsid w:val="006E2705"/>
    <w:rsid w:val="00726309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32831"/>
    <w:rsid w:val="00B544A2"/>
    <w:rsid w:val="00B824E5"/>
    <w:rsid w:val="00BA1A09"/>
    <w:rsid w:val="00BB4605"/>
    <w:rsid w:val="00BB4AA6"/>
    <w:rsid w:val="00CA7823"/>
    <w:rsid w:val="00CE0BD7"/>
    <w:rsid w:val="00CF75F4"/>
    <w:rsid w:val="00D1418B"/>
    <w:rsid w:val="00D534BB"/>
    <w:rsid w:val="00D634E0"/>
    <w:rsid w:val="00DA686E"/>
    <w:rsid w:val="00E06C7D"/>
    <w:rsid w:val="00E271FC"/>
    <w:rsid w:val="00E337CE"/>
    <w:rsid w:val="00E67028"/>
    <w:rsid w:val="00F2575B"/>
    <w:rsid w:val="00F5697C"/>
    <w:rsid w:val="00F81FE0"/>
    <w:rsid w:val="00F847E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6E7E-2F5B-403A-9011-AA659D1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5BAF-5775-457F-B47A-F934BC3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47</cp:revision>
  <cp:lastPrinted>2018-07-17T04:39:00Z</cp:lastPrinted>
  <dcterms:created xsi:type="dcterms:W3CDTF">2015-10-27T06:12:00Z</dcterms:created>
  <dcterms:modified xsi:type="dcterms:W3CDTF">2018-07-26T05:15:00Z</dcterms:modified>
</cp:coreProperties>
</file>