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1B" w:rsidRPr="0025636D" w:rsidRDefault="000E041B" w:rsidP="00762DC1">
      <w:pPr>
        <w:pageBreakBefore/>
        <w:jc w:val="center"/>
        <w:rPr>
          <w:rFonts w:eastAsia="Arial" w:cs="Arial"/>
          <w:b/>
          <w:bCs/>
          <w:color w:val="000000"/>
          <w:spacing w:val="-4"/>
        </w:rPr>
      </w:pPr>
      <w:r w:rsidRPr="00596A1F">
        <w:rPr>
          <w:rStyle w:val="10"/>
          <w:bCs/>
          <w:sz w:val="24"/>
          <w:szCs w:val="24"/>
        </w:rPr>
        <w:t xml:space="preserve">Техническое задание </w:t>
      </w:r>
      <w:r w:rsidRPr="00E91343">
        <w:rPr>
          <w:rStyle w:val="10"/>
          <w:b w:val="0"/>
          <w:bCs/>
          <w:sz w:val="24"/>
          <w:szCs w:val="24"/>
        </w:rPr>
        <w:t>на поставку</w:t>
      </w:r>
      <w:r w:rsidRPr="0025636D">
        <w:t xml:space="preserve"> </w:t>
      </w:r>
      <w:r w:rsidRPr="00EA0685">
        <w:t xml:space="preserve">технических средств реабилитации </w:t>
      </w:r>
      <w:r w:rsidRPr="00AB2AF0">
        <w:rPr>
          <w:sz w:val="28"/>
        </w:rPr>
        <w:t xml:space="preserve">– </w:t>
      </w:r>
      <w:r w:rsidRPr="00EF6B24">
        <w:t>подгузников для взрослых для обеспечения ими инвалидов</w:t>
      </w:r>
    </w:p>
    <w:p w:rsidR="000E041B" w:rsidRDefault="000E041B" w:rsidP="000E041B">
      <w:pPr>
        <w:pStyle w:val="Standard"/>
        <w:autoSpaceDE w:val="0"/>
        <w:jc w:val="both"/>
        <w:rPr>
          <w:rStyle w:val="2"/>
          <w:rFonts w:eastAsia="Arial"/>
          <w:bCs/>
          <w:color w:val="000000"/>
          <w:spacing w:val="-4"/>
          <w:lang w:val="ru-RU"/>
        </w:rPr>
      </w:pPr>
    </w:p>
    <w:p w:rsidR="000E041B" w:rsidRDefault="000E041B" w:rsidP="000E041B">
      <w:pPr>
        <w:pStyle w:val="Standard"/>
        <w:autoSpaceDE w:val="0"/>
        <w:rPr>
          <w:rStyle w:val="2"/>
          <w:rFonts w:eastAsia="Arial"/>
          <w:bCs/>
          <w:color w:val="000000"/>
          <w:spacing w:val="-4"/>
          <w:lang w:val="ru-RU"/>
        </w:rPr>
      </w:pPr>
      <w:r w:rsidRPr="00B2121A">
        <w:rPr>
          <w:rStyle w:val="2"/>
          <w:rFonts w:eastAsia="Arial"/>
          <w:bCs/>
          <w:color w:val="000000"/>
          <w:spacing w:val="-4"/>
          <w:lang w:val="ru-RU"/>
        </w:rPr>
        <w:t xml:space="preserve">Начальная (максимальная) цена </w:t>
      </w:r>
      <w:r w:rsidRPr="00F044BD">
        <w:rPr>
          <w:rStyle w:val="2"/>
          <w:rFonts w:eastAsia="Arial"/>
          <w:bCs/>
          <w:color w:val="000000"/>
          <w:spacing w:val="-4"/>
          <w:lang w:val="ru-RU"/>
        </w:rPr>
        <w:t xml:space="preserve">контракта — </w:t>
      </w:r>
      <w:r w:rsidR="00650E75">
        <w:rPr>
          <w:lang w:val="ru-RU"/>
        </w:rPr>
        <w:t>23 844 700,00</w:t>
      </w:r>
      <w:r w:rsidRPr="00EF6B24">
        <w:t xml:space="preserve"> </w:t>
      </w:r>
      <w:r w:rsidRPr="00844431">
        <w:t>рублей</w:t>
      </w:r>
      <w:r w:rsidRPr="00F044BD">
        <w:rPr>
          <w:rStyle w:val="2"/>
          <w:rFonts w:eastAsia="Arial"/>
          <w:bCs/>
          <w:color w:val="000000"/>
          <w:spacing w:val="-4"/>
          <w:lang w:val="ru-RU"/>
        </w:rPr>
        <w:t>.</w:t>
      </w:r>
    </w:p>
    <w:p w:rsidR="000E041B" w:rsidRDefault="000E041B" w:rsidP="000E041B">
      <w:pPr>
        <w:pStyle w:val="Standard"/>
        <w:autoSpaceDE w:val="0"/>
        <w:rPr>
          <w:rStyle w:val="2"/>
          <w:rFonts w:eastAsia="Arial"/>
          <w:bCs/>
          <w:color w:val="000000"/>
          <w:spacing w:val="-4"/>
          <w:lang w:val="ru-RU"/>
        </w:rPr>
      </w:pPr>
    </w:p>
    <w:tbl>
      <w:tblPr>
        <w:tblpPr w:leftFromText="180" w:rightFromText="180" w:vertAnchor="text" w:tblpX="17" w:tblpY="1"/>
        <w:tblOverlap w:val="never"/>
        <w:tblW w:w="10343" w:type="dxa"/>
        <w:tblLayout w:type="fixed"/>
        <w:tblCellMar>
          <w:left w:w="10" w:type="dxa"/>
          <w:right w:w="10" w:type="dxa"/>
        </w:tblCellMar>
        <w:tblLook w:val="04A0" w:firstRow="1" w:lastRow="0" w:firstColumn="1" w:lastColumn="0" w:noHBand="0" w:noVBand="1"/>
      </w:tblPr>
      <w:tblGrid>
        <w:gridCol w:w="421"/>
        <w:gridCol w:w="1984"/>
        <w:gridCol w:w="4394"/>
        <w:gridCol w:w="993"/>
        <w:gridCol w:w="1134"/>
        <w:gridCol w:w="1417"/>
      </w:tblGrid>
      <w:tr w:rsidR="00650E75" w:rsidRPr="00845522" w:rsidTr="00503B9A">
        <w:tc>
          <w:tcPr>
            <w:tcW w:w="421" w:type="dxa"/>
            <w:tcBorders>
              <w:top w:val="single" w:sz="4" w:space="0" w:color="000000"/>
              <w:left w:val="single" w:sz="4" w:space="0" w:color="000000"/>
              <w:bottom w:val="single" w:sz="4" w:space="0" w:color="000000"/>
            </w:tcBorders>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 п/п</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Вид изделий</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1893" w:right="-192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Функциональные характеристики и</w:t>
            </w:r>
          </w:p>
          <w:p w:rsidR="00650E75" w:rsidRPr="005C78A5" w:rsidRDefault="00650E75" w:rsidP="00503B9A">
            <w:pPr>
              <w:widowControl w:val="0"/>
              <w:snapToGrid w:val="0"/>
              <w:ind w:left="39" w:right="-1"/>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технические требования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4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Кол-во (шт.)</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Цена ед. (руб.)</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E75" w:rsidRPr="005C78A5" w:rsidRDefault="00650E75" w:rsidP="00503B9A">
            <w:pPr>
              <w:widowControl w:val="0"/>
              <w:snapToGrid w:val="0"/>
              <w:ind w:left="-91"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Стоимость (руб.)</w:t>
            </w:r>
          </w:p>
        </w:tc>
      </w:tr>
      <w:tr w:rsidR="00650E75" w:rsidRPr="00845522" w:rsidTr="00503B9A">
        <w:tc>
          <w:tcPr>
            <w:tcW w:w="421" w:type="dxa"/>
            <w:tcBorders>
              <w:top w:val="single" w:sz="4" w:space="0" w:color="000000"/>
              <w:left w:val="single" w:sz="4" w:space="0" w:color="000000"/>
              <w:bottom w:val="single" w:sz="4" w:space="0" w:color="000000"/>
            </w:tcBorders>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1</w:t>
            </w:r>
            <w:r w:rsidRPr="005C78A5">
              <w:rPr>
                <w:rFonts w:eastAsia="Andale Sans UI" w:cs="Tahoma"/>
                <w:kern w:val="1"/>
                <w:sz w:val="20"/>
                <w:szCs w:val="22"/>
                <w:lang w:eastAsia="fa-IR" w:bidi="fa-IR"/>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r w:rsidRPr="005C78A5">
              <w:rPr>
                <w:color w:val="000000"/>
                <w:sz w:val="20"/>
                <w:szCs w:val="22"/>
                <w:lang w:eastAsia="ru-RU"/>
              </w:rPr>
              <w:t>Подгузники для взрослых, размер "S" (объем талии/бедер до 90 см), с полным влагопоглощением не менее 1400 г</w:t>
            </w:r>
          </w:p>
        </w:tc>
        <w:tc>
          <w:tcPr>
            <w:tcW w:w="4394" w:type="dxa"/>
            <w:vMerge w:val="restart"/>
            <w:tcBorders>
              <w:top w:val="single" w:sz="4" w:space="0" w:color="000000"/>
              <w:left w:val="single" w:sz="4" w:space="0" w:color="000000"/>
            </w:tcBorders>
            <w:tcMar>
              <w:top w:w="0" w:type="dxa"/>
              <w:left w:w="108" w:type="dxa"/>
              <w:bottom w:w="0" w:type="dxa"/>
              <w:right w:w="108" w:type="dxa"/>
            </w:tcMar>
          </w:tcPr>
          <w:p w:rsidR="00650E75" w:rsidRPr="005C78A5" w:rsidRDefault="00650E75" w:rsidP="00503B9A">
            <w:pPr>
              <w:keepNext/>
              <w:widowControl w:val="0"/>
              <w:tabs>
                <w:tab w:val="left" w:pos="708"/>
              </w:tabs>
              <w:jc w:val="both"/>
              <w:textAlignment w:val="baseline"/>
              <w:rPr>
                <w:rFonts w:eastAsia="Andale Sans UI"/>
                <w:sz w:val="20"/>
                <w:szCs w:val="22"/>
                <w:lang w:bidi="fa-IR"/>
              </w:rPr>
            </w:pPr>
            <w:r w:rsidRPr="005C78A5">
              <w:rPr>
                <w:rFonts w:eastAsia="Andale Sans UI"/>
                <w:sz w:val="20"/>
                <w:szCs w:val="22"/>
                <w:lang w:bidi="fa-IR"/>
              </w:rPr>
              <w:t>Подгузники должны обеспечивать соблюдение санитарно-гигиенических условий для инвалидов с нарушениями функций выделения.</w:t>
            </w:r>
          </w:p>
          <w:p w:rsidR="00650E75" w:rsidRPr="005C78A5" w:rsidRDefault="00650E75" w:rsidP="00503B9A">
            <w:pPr>
              <w:keepNext/>
              <w:widowControl w:val="0"/>
              <w:tabs>
                <w:tab w:val="left" w:pos="708"/>
              </w:tabs>
              <w:jc w:val="both"/>
              <w:textAlignment w:val="baseline"/>
              <w:rPr>
                <w:rFonts w:eastAsia="Andale Sans UI"/>
                <w:sz w:val="20"/>
                <w:szCs w:val="22"/>
                <w:lang w:bidi="fa-IR"/>
              </w:rPr>
            </w:pPr>
            <w:r w:rsidRPr="005C78A5">
              <w:rPr>
                <w:rFonts w:eastAsia="Andale Sans UI"/>
                <w:sz w:val="20"/>
                <w:szCs w:val="22"/>
                <w:lang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p w:rsidR="00650E75" w:rsidRPr="005C78A5" w:rsidRDefault="00650E75" w:rsidP="00503B9A">
            <w:pPr>
              <w:keepNext/>
              <w:widowControl w:val="0"/>
              <w:tabs>
                <w:tab w:val="left" w:pos="708"/>
              </w:tabs>
              <w:jc w:val="both"/>
              <w:textAlignment w:val="baseline"/>
              <w:rPr>
                <w:rFonts w:eastAsia="Andale Sans UI" w:cs="Tahoma"/>
                <w:kern w:val="1"/>
                <w:sz w:val="20"/>
                <w:szCs w:val="22"/>
                <w:lang w:eastAsia="fa-IR" w:bidi="fa-IR"/>
              </w:rPr>
            </w:pPr>
            <w:r w:rsidRPr="005C78A5">
              <w:rPr>
                <w:rFonts w:eastAsia="Andale Sans UI"/>
                <w:sz w:val="20"/>
                <w:szCs w:val="22"/>
                <w:lang w:bidi="fa-IR"/>
              </w:rPr>
              <w:t>Обратная сорбция и скорость впитывания должна быть в соответствии с ГОСТ 55082-2012.</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4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40 000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08"/>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14,34</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E75" w:rsidRPr="005C78A5" w:rsidRDefault="00650E75" w:rsidP="00503B9A">
            <w:pPr>
              <w:widowControl w:val="0"/>
              <w:snapToGrid w:val="0"/>
              <w:ind w:left="-91" w:right="-108"/>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573 600,00</w:t>
            </w:r>
          </w:p>
        </w:tc>
      </w:tr>
      <w:tr w:rsidR="00650E75" w:rsidRPr="00845522" w:rsidTr="00503B9A">
        <w:trPr>
          <w:trHeight w:val="1590"/>
        </w:trPr>
        <w:tc>
          <w:tcPr>
            <w:tcW w:w="421" w:type="dxa"/>
            <w:tcBorders>
              <w:top w:val="single" w:sz="4" w:space="0" w:color="000000"/>
              <w:left w:val="single" w:sz="4" w:space="0" w:color="000000"/>
              <w:bottom w:val="single" w:sz="4" w:space="0" w:color="000000"/>
            </w:tcBorders>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2</w:t>
            </w:r>
            <w:r w:rsidRPr="005C78A5">
              <w:rPr>
                <w:rFonts w:eastAsia="Andale Sans UI" w:cs="Tahoma"/>
                <w:kern w:val="1"/>
                <w:sz w:val="20"/>
                <w:szCs w:val="22"/>
                <w:lang w:eastAsia="fa-IR" w:bidi="fa-IR"/>
              </w:rPr>
              <w:t xml:space="preserve">. </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r w:rsidRPr="005C78A5">
              <w:rPr>
                <w:color w:val="000000"/>
                <w:sz w:val="20"/>
                <w:szCs w:val="22"/>
                <w:lang w:eastAsia="ru-RU"/>
              </w:rPr>
              <w:t>Подгузники для взрослых, размер "M" (объем талии/бедер до 120 см), с полным влагопоглощением не менее 1800 г</w:t>
            </w:r>
          </w:p>
        </w:tc>
        <w:tc>
          <w:tcPr>
            <w:tcW w:w="4394" w:type="dxa"/>
            <w:vMerge/>
            <w:tcBorders>
              <w:left w:val="single" w:sz="4" w:space="0" w:color="000000"/>
            </w:tcBorders>
            <w:tcMar>
              <w:top w:w="0" w:type="dxa"/>
              <w:left w:w="108" w:type="dxa"/>
              <w:bottom w:w="0" w:type="dxa"/>
              <w:right w:w="108" w:type="dxa"/>
            </w:tcMar>
          </w:tcPr>
          <w:p w:rsidR="00650E75" w:rsidRPr="005C78A5" w:rsidRDefault="00650E75" w:rsidP="00503B9A">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4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530 000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18,57</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E75" w:rsidRPr="005C78A5" w:rsidRDefault="00650E75" w:rsidP="00503B9A">
            <w:pPr>
              <w:widowControl w:val="0"/>
              <w:snapToGrid w:val="0"/>
              <w:ind w:left="-91" w:right="-108"/>
              <w:jc w:val="center"/>
              <w:textAlignment w:val="baseline"/>
              <w:rPr>
                <w:rFonts w:eastAsia="Andale Sans UI" w:cs="Tahoma"/>
                <w:kern w:val="1"/>
                <w:sz w:val="20"/>
                <w:szCs w:val="22"/>
                <w:lang w:eastAsia="fa-IR" w:bidi="fa-IR"/>
              </w:rPr>
            </w:pPr>
            <w:r w:rsidRPr="00D51624">
              <w:rPr>
                <w:rFonts w:eastAsia="Andale Sans UI" w:cs="Tahoma"/>
                <w:kern w:val="1"/>
                <w:sz w:val="20"/>
                <w:szCs w:val="22"/>
                <w:lang w:eastAsia="fa-IR" w:bidi="fa-IR"/>
              </w:rPr>
              <w:t>9 842 100,00</w:t>
            </w:r>
          </w:p>
        </w:tc>
      </w:tr>
      <w:tr w:rsidR="00650E75" w:rsidRPr="00845522" w:rsidTr="00503B9A">
        <w:trPr>
          <w:trHeight w:val="1528"/>
        </w:trPr>
        <w:tc>
          <w:tcPr>
            <w:tcW w:w="421" w:type="dxa"/>
            <w:tcBorders>
              <w:top w:val="single" w:sz="4" w:space="0" w:color="000000"/>
              <w:left w:val="single" w:sz="4" w:space="0" w:color="000000"/>
              <w:bottom w:val="single" w:sz="4" w:space="0" w:color="000000"/>
            </w:tcBorders>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3</w:t>
            </w:r>
            <w:r w:rsidRPr="005C78A5">
              <w:rPr>
                <w:rFonts w:eastAsia="Andale Sans UI" w:cs="Tahoma"/>
                <w:kern w:val="1"/>
                <w:sz w:val="20"/>
                <w:szCs w:val="22"/>
                <w:lang w:eastAsia="fa-IR" w:bidi="fa-IR"/>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r w:rsidRPr="005C78A5">
              <w:rPr>
                <w:color w:val="000000"/>
                <w:sz w:val="20"/>
                <w:szCs w:val="22"/>
                <w:lang w:eastAsia="ru-RU"/>
              </w:rPr>
              <w:t>Подгузники для взрослых, размер "L" (объем талии/бедер до 150 см), с полным влагопоглощением не менее 2000 г</w:t>
            </w:r>
          </w:p>
        </w:tc>
        <w:tc>
          <w:tcPr>
            <w:tcW w:w="4394" w:type="dxa"/>
            <w:vMerge/>
            <w:tcBorders>
              <w:left w:val="single" w:sz="4" w:space="0" w:color="000000"/>
            </w:tcBorders>
            <w:tcMar>
              <w:top w:w="0" w:type="dxa"/>
              <w:left w:w="108" w:type="dxa"/>
              <w:bottom w:w="0" w:type="dxa"/>
              <w:right w:w="108" w:type="dxa"/>
            </w:tcMar>
          </w:tcPr>
          <w:p w:rsidR="00650E75" w:rsidRPr="005C78A5" w:rsidRDefault="00650E75" w:rsidP="00503B9A">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4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500 000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22,36</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E75" w:rsidRPr="005C78A5" w:rsidRDefault="00650E75" w:rsidP="00503B9A">
            <w:pPr>
              <w:widowControl w:val="0"/>
              <w:tabs>
                <w:tab w:val="center" w:pos="609"/>
              </w:tabs>
              <w:snapToGrid w:val="0"/>
              <w:ind w:left="-91" w:right="-108"/>
              <w:jc w:val="center"/>
              <w:textAlignment w:val="baseline"/>
              <w:rPr>
                <w:rFonts w:eastAsia="Andale Sans UI" w:cs="Tahoma"/>
                <w:kern w:val="1"/>
                <w:sz w:val="20"/>
                <w:szCs w:val="22"/>
                <w:lang w:eastAsia="fa-IR" w:bidi="fa-IR"/>
              </w:rPr>
            </w:pPr>
            <w:r w:rsidRPr="00D51624">
              <w:rPr>
                <w:rFonts w:eastAsia="Andale Sans UI" w:cs="Tahoma"/>
                <w:kern w:val="1"/>
                <w:sz w:val="20"/>
                <w:szCs w:val="22"/>
                <w:lang w:eastAsia="fa-IR" w:bidi="fa-IR"/>
              </w:rPr>
              <w:t>11 180 000,00</w:t>
            </w:r>
          </w:p>
        </w:tc>
      </w:tr>
      <w:tr w:rsidR="00650E75" w:rsidRPr="00845522" w:rsidTr="00503B9A">
        <w:trPr>
          <w:trHeight w:val="1607"/>
        </w:trPr>
        <w:tc>
          <w:tcPr>
            <w:tcW w:w="421" w:type="dxa"/>
            <w:tcBorders>
              <w:top w:val="single" w:sz="4" w:space="0" w:color="000000"/>
              <w:left w:val="single" w:sz="4" w:space="0" w:color="000000"/>
              <w:bottom w:val="single" w:sz="4" w:space="0" w:color="000000"/>
            </w:tcBorders>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4</w:t>
            </w:r>
            <w:r w:rsidRPr="005C78A5">
              <w:rPr>
                <w:rFonts w:eastAsia="Andale Sans UI" w:cs="Tahoma"/>
                <w:kern w:val="1"/>
                <w:sz w:val="20"/>
                <w:szCs w:val="22"/>
                <w:lang w:eastAsia="fa-IR" w:bidi="fa-IR"/>
              </w:rPr>
              <w:t>.</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Подгузники для взрослых, размер "XL" (объем талии/бедер до 175 см), с полным влагопоглощением не менее 2800 г</w:t>
            </w:r>
          </w:p>
        </w:tc>
        <w:tc>
          <w:tcPr>
            <w:tcW w:w="4394" w:type="dxa"/>
            <w:vMerge/>
            <w:tcBorders>
              <w:left w:val="single" w:sz="4" w:space="0" w:color="000000"/>
            </w:tcBorders>
            <w:tcMar>
              <w:top w:w="0" w:type="dxa"/>
              <w:left w:w="108" w:type="dxa"/>
              <w:bottom w:w="0" w:type="dxa"/>
              <w:right w:w="108" w:type="dxa"/>
            </w:tcMar>
          </w:tcPr>
          <w:p w:rsidR="00650E75" w:rsidRPr="005C78A5" w:rsidRDefault="00650E75" w:rsidP="00503B9A">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4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100 000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22,49</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E75" w:rsidRPr="005C78A5" w:rsidRDefault="00650E75" w:rsidP="00503B9A">
            <w:pPr>
              <w:widowControl w:val="0"/>
              <w:snapToGrid w:val="0"/>
              <w:ind w:left="-91" w:right="-108"/>
              <w:jc w:val="center"/>
              <w:textAlignment w:val="baseline"/>
              <w:rPr>
                <w:rFonts w:eastAsia="Andale Sans UI" w:cs="Tahoma"/>
                <w:kern w:val="1"/>
                <w:sz w:val="20"/>
                <w:szCs w:val="22"/>
                <w:lang w:eastAsia="fa-IR" w:bidi="fa-IR"/>
              </w:rPr>
            </w:pPr>
            <w:r w:rsidRPr="00D51624">
              <w:rPr>
                <w:rFonts w:eastAsia="Andale Sans UI" w:cs="Tahoma"/>
                <w:kern w:val="1"/>
                <w:sz w:val="20"/>
                <w:szCs w:val="22"/>
                <w:lang w:eastAsia="fa-IR" w:bidi="fa-IR"/>
              </w:rPr>
              <w:t>2 249 000,00</w:t>
            </w:r>
          </w:p>
        </w:tc>
      </w:tr>
      <w:tr w:rsidR="00650E75" w:rsidRPr="00845522" w:rsidTr="00503B9A">
        <w:tc>
          <w:tcPr>
            <w:tcW w:w="421" w:type="dxa"/>
            <w:tcBorders>
              <w:top w:val="single" w:sz="4" w:space="0" w:color="000000"/>
              <w:left w:val="single" w:sz="4" w:space="0" w:color="000000"/>
              <w:bottom w:val="single" w:sz="4" w:space="0" w:color="000000"/>
            </w:tcBorders>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right="45"/>
              <w:jc w:val="center"/>
              <w:textAlignment w:val="baseline"/>
              <w:rPr>
                <w:rFonts w:eastAsia="Andale Sans UI" w:cs="Tahoma"/>
                <w:kern w:val="1"/>
                <w:sz w:val="20"/>
                <w:szCs w:val="22"/>
                <w:lang w:eastAsia="fa-IR" w:bidi="fa-IR"/>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1893" w:right="-1923"/>
              <w:jc w:val="center"/>
              <w:textAlignment w:val="baseline"/>
              <w:rPr>
                <w:rFonts w:eastAsia="Andale Sans UI" w:cs="Tahoma"/>
                <w:kern w:val="1"/>
                <w:sz w:val="20"/>
                <w:szCs w:val="22"/>
                <w:lang w:eastAsia="fa-IR" w:bidi="fa-IR"/>
              </w:rPr>
            </w:pPr>
            <w:r w:rsidRPr="005C78A5">
              <w:rPr>
                <w:sz w:val="20"/>
                <w:szCs w:val="22"/>
              </w:rPr>
              <w:t>Итого: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43"/>
              <w:jc w:val="center"/>
              <w:textAlignment w:val="baseline"/>
              <w:rPr>
                <w:rFonts w:eastAsia="Andale Sans UI" w:cs="Tahoma"/>
                <w:b/>
                <w:kern w:val="1"/>
                <w:sz w:val="20"/>
                <w:szCs w:val="22"/>
                <w:lang w:eastAsia="fa-IR" w:bidi="fa-IR"/>
              </w:rPr>
            </w:pPr>
            <w:r>
              <w:rPr>
                <w:rFonts w:eastAsia="Andale Sans UI" w:cs="Tahoma"/>
                <w:b/>
                <w:kern w:val="1"/>
                <w:sz w:val="20"/>
                <w:szCs w:val="22"/>
                <w:lang w:eastAsia="fa-IR" w:bidi="fa-IR"/>
              </w:rPr>
              <w:t>1 170 000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650E75" w:rsidRPr="005C78A5" w:rsidRDefault="00650E75" w:rsidP="00503B9A">
            <w:pPr>
              <w:widowControl w:val="0"/>
              <w:snapToGrid w:val="0"/>
              <w:ind w:left="-73" w:right="-108"/>
              <w:jc w:val="center"/>
              <w:textAlignment w:val="baseline"/>
              <w:rPr>
                <w:rFonts w:eastAsia="Andale Sans UI" w:cs="Tahoma"/>
                <w:kern w:val="1"/>
                <w:sz w:val="20"/>
                <w:szCs w:val="22"/>
                <w:lang w:eastAsia="fa-IR"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0E75" w:rsidRPr="00D51624" w:rsidRDefault="00650E75" w:rsidP="00503B9A">
            <w:pPr>
              <w:widowControl w:val="0"/>
              <w:snapToGrid w:val="0"/>
              <w:ind w:left="-91" w:right="-108"/>
              <w:jc w:val="center"/>
              <w:textAlignment w:val="baseline"/>
              <w:rPr>
                <w:rFonts w:eastAsia="Andale Sans UI" w:cs="Tahoma"/>
                <w:b/>
                <w:kern w:val="1"/>
                <w:sz w:val="20"/>
                <w:szCs w:val="22"/>
                <w:lang w:eastAsia="fa-IR" w:bidi="fa-IR"/>
              </w:rPr>
            </w:pPr>
            <w:r w:rsidRPr="00D51624">
              <w:rPr>
                <w:rFonts w:eastAsia="Andale Sans UI" w:cs="Tahoma"/>
                <w:b/>
                <w:kern w:val="1"/>
                <w:sz w:val="20"/>
                <w:szCs w:val="22"/>
                <w:lang w:eastAsia="fa-IR" w:bidi="fa-IR"/>
              </w:rPr>
              <w:t>23</w:t>
            </w:r>
            <w:r>
              <w:rPr>
                <w:rFonts w:eastAsia="Andale Sans UI" w:cs="Tahoma"/>
                <w:b/>
                <w:kern w:val="1"/>
                <w:sz w:val="20"/>
                <w:szCs w:val="22"/>
                <w:lang w:eastAsia="fa-IR" w:bidi="fa-IR"/>
              </w:rPr>
              <w:t> 844 700</w:t>
            </w:r>
            <w:r w:rsidRPr="00D51624">
              <w:rPr>
                <w:rFonts w:eastAsia="Andale Sans UI" w:cs="Tahoma"/>
                <w:b/>
                <w:kern w:val="1"/>
                <w:sz w:val="20"/>
                <w:szCs w:val="22"/>
                <w:lang w:eastAsia="fa-IR" w:bidi="fa-IR"/>
              </w:rPr>
              <w:t>,00</w:t>
            </w:r>
          </w:p>
        </w:tc>
      </w:tr>
    </w:tbl>
    <w:p w:rsidR="000E041B" w:rsidRPr="00E91343" w:rsidRDefault="000E041B" w:rsidP="000E041B">
      <w:pPr>
        <w:pStyle w:val="Standard"/>
        <w:autoSpaceDE w:val="0"/>
        <w:rPr>
          <w:b/>
          <w:bCs/>
          <w:lang w:val="ru-RU"/>
        </w:rPr>
      </w:pPr>
      <w:bookmarkStart w:id="0" w:name="_GoBack"/>
      <w:bookmarkEnd w:id="0"/>
    </w:p>
    <w:p w:rsidR="000E041B" w:rsidRPr="00C13CCF" w:rsidRDefault="000E041B" w:rsidP="000E041B">
      <w:pPr>
        <w:shd w:val="clear" w:color="auto" w:fill="FFFFFF"/>
        <w:suppressAutoHyphens w:val="0"/>
        <w:spacing w:line="315" w:lineRule="atLeast"/>
        <w:jc w:val="center"/>
        <w:textAlignment w:val="baseline"/>
        <w:rPr>
          <w:b/>
          <w:spacing w:val="2"/>
          <w:lang w:eastAsia="ru-RU"/>
        </w:rPr>
      </w:pPr>
      <w:r w:rsidRPr="00C13CCF">
        <w:rPr>
          <w:b/>
          <w:bCs/>
          <w:spacing w:val="2"/>
          <w:lang w:eastAsia="ru-RU"/>
        </w:rPr>
        <w:t>1. Требования к конструкции подгузников: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xml:space="preserve">1.1. Конструкция подгузников включает в себя (начиная со слоя, контактирующего с кожей человека): </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верхний покровный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распределительный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абсорбирующий слой, состоящий из одного или двух впитывающих слоев;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защитный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нижний покровный слой;</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барьерные элементы;</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фиксирующие элементы;</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индикатор наполнения подгузника (при наличии).</w:t>
      </w:r>
    </w:p>
    <w:p w:rsidR="000E041B" w:rsidRPr="00C13CCF" w:rsidRDefault="000E041B" w:rsidP="000E041B">
      <w:pPr>
        <w:shd w:val="clear" w:color="auto" w:fill="FFFFFF"/>
        <w:suppressAutoHyphens w:val="0"/>
        <w:jc w:val="both"/>
        <w:textAlignment w:val="baseline"/>
        <w:rPr>
          <w:spacing w:val="2"/>
          <w:lang w:eastAsia="ru-RU"/>
        </w:rPr>
      </w:pPr>
      <w:r>
        <w:rPr>
          <w:spacing w:val="2"/>
          <w:lang w:eastAsia="ru-RU"/>
        </w:rPr>
        <w:t>Допуска</w:t>
      </w:r>
      <w:r w:rsidR="00FF1B9A">
        <w:rPr>
          <w:spacing w:val="2"/>
          <w:lang w:eastAsia="ru-RU"/>
        </w:rPr>
        <w:t>ется изгота</w:t>
      </w:r>
      <w:r>
        <w:rPr>
          <w:spacing w:val="2"/>
          <w:lang w:eastAsia="ru-RU"/>
        </w:rPr>
        <w:t>вливат</w:t>
      </w:r>
      <w:r w:rsidRPr="00C13CCF">
        <w:rPr>
          <w:spacing w:val="2"/>
          <w:lang w:eastAsia="ru-RU"/>
        </w:rPr>
        <w:t>ь подгузники без распределительного и нижнего покровного слоев.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При отсутствии нижнего покровного слоя его функцию выполняет защитный слой.</w:t>
      </w:r>
    </w:p>
    <w:p w:rsidR="000E041B" w:rsidRPr="00C13CCF" w:rsidRDefault="000E041B" w:rsidP="000E041B">
      <w:pPr>
        <w:shd w:val="clear" w:color="auto" w:fill="FFFFFF"/>
        <w:suppressAutoHyphens w:val="0"/>
        <w:jc w:val="center"/>
        <w:textAlignment w:val="baseline"/>
        <w:rPr>
          <w:b/>
          <w:bCs/>
          <w:spacing w:val="2"/>
          <w:shd w:val="clear" w:color="auto" w:fill="FFFFFF"/>
          <w:lang w:eastAsia="ru-RU"/>
        </w:rPr>
      </w:pPr>
    </w:p>
    <w:p w:rsidR="000E041B" w:rsidRPr="00C13CCF" w:rsidRDefault="000E041B" w:rsidP="000E041B">
      <w:pPr>
        <w:shd w:val="clear" w:color="auto" w:fill="FFFFFF"/>
        <w:suppressAutoHyphens w:val="0"/>
        <w:jc w:val="center"/>
        <w:textAlignment w:val="baseline"/>
        <w:rPr>
          <w:b/>
          <w:bCs/>
          <w:spacing w:val="2"/>
          <w:shd w:val="clear" w:color="auto" w:fill="FFFFFF"/>
          <w:lang w:eastAsia="ru-RU"/>
        </w:rPr>
      </w:pPr>
      <w:r w:rsidRPr="00C13CCF">
        <w:rPr>
          <w:b/>
          <w:bCs/>
          <w:spacing w:val="2"/>
          <w:shd w:val="clear" w:color="auto" w:fill="FFFFFF"/>
          <w:lang w:eastAsia="ru-RU"/>
        </w:rPr>
        <w:t>2. Техническое исполнение подгузников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shd w:val="clear" w:color="auto" w:fill="FFFFFF"/>
          <w:lang w:eastAsia="ru-RU"/>
        </w:rPr>
        <w:t>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 Допускаются другие виды технического исполнения подгузников.</w:t>
      </w:r>
    </w:p>
    <w:p w:rsidR="000E041B" w:rsidRPr="00C13CCF" w:rsidRDefault="000E041B" w:rsidP="000E041B">
      <w:pPr>
        <w:widowControl w:val="0"/>
        <w:numPr>
          <w:ilvl w:val="1"/>
          <w:numId w:val="1"/>
        </w:numPr>
        <w:shd w:val="clear" w:color="auto" w:fill="FFFFFF"/>
        <w:tabs>
          <w:tab w:val="left" w:pos="0"/>
        </w:tabs>
        <w:jc w:val="both"/>
        <w:textAlignment w:val="baseline"/>
        <w:rPr>
          <w:rFonts w:eastAsia="Andale Sans UI"/>
          <w:spacing w:val="2"/>
          <w:kern w:val="1"/>
          <w:lang w:eastAsia="fa-IR" w:bidi="fa-IR"/>
        </w:rPr>
      </w:pPr>
      <w:r w:rsidRPr="00C13CCF">
        <w:rPr>
          <w:rFonts w:eastAsia="Andale Sans UI"/>
          <w:bCs/>
          <w:spacing w:val="2"/>
          <w:kern w:val="1"/>
          <w:shd w:val="clear" w:color="auto" w:fill="FFFFFF"/>
          <w:lang w:eastAsia="fa-IR" w:bidi="fa-IR"/>
        </w:rPr>
        <w:t>Декоративное исполнение подгузников</w:t>
      </w:r>
    </w:p>
    <w:p w:rsidR="000E041B" w:rsidRPr="00C13CCF" w:rsidRDefault="000E041B" w:rsidP="000E041B">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0E041B" w:rsidRPr="00C13CCF" w:rsidRDefault="000E041B" w:rsidP="000E041B">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p>
    <w:p w:rsidR="000E041B" w:rsidRPr="00C13CCF" w:rsidRDefault="000E041B" w:rsidP="000E041B">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0E041B" w:rsidRPr="00C13CCF" w:rsidRDefault="000E041B" w:rsidP="000E041B">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0E041B" w:rsidRPr="00C13CCF" w:rsidRDefault="000E041B" w:rsidP="000E041B">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выщипывания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отмарывания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0E041B" w:rsidRPr="00C13CCF" w:rsidRDefault="000E041B" w:rsidP="000E041B">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0E041B" w:rsidRPr="00C13CCF" w:rsidRDefault="000E041B" w:rsidP="000E041B">
      <w:pPr>
        <w:widowControl w:val="0"/>
        <w:tabs>
          <w:tab w:val="left" w:pos="708"/>
        </w:tabs>
        <w:jc w:val="both"/>
        <w:textAlignment w:val="baseline"/>
        <w:rPr>
          <w:rFonts w:eastAsia="Andale Sans UI"/>
          <w:spacing w:val="2"/>
          <w:kern w:val="1"/>
          <w:shd w:val="clear" w:color="auto" w:fill="FFFFFF"/>
          <w:lang w:eastAsia="fa-IR" w:bidi="fa-IR"/>
        </w:rPr>
      </w:pPr>
    </w:p>
    <w:p w:rsidR="000E041B" w:rsidRPr="00C13CCF" w:rsidRDefault="000E041B" w:rsidP="000E041B">
      <w:pPr>
        <w:shd w:val="clear" w:color="auto" w:fill="FFFFFF"/>
        <w:suppressAutoHyphens w:val="0"/>
        <w:jc w:val="center"/>
        <w:textAlignment w:val="baseline"/>
        <w:rPr>
          <w:spacing w:val="2"/>
          <w:lang w:eastAsia="ru-RU"/>
        </w:rPr>
      </w:pPr>
      <w:r w:rsidRPr="00C13CCF">
        <w:rPr>
          <w:b/>
          <w:bCs/>
          <w:spacing w:val="2"/>
          <w:lang w:eastAsia="ru-RU"/>
        </w:rPr>
        <w:t>4. Маркировка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4.2. Маркировка на потребительской упаковке подгузников должна содержать:</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наименование страны-изготовителя;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наименование и местонахождение изготовителя (продавца, поставщика), товарный знак (при наличии);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правила по применению подгузника (в виде рисунков или текста);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указания по утилизации подгузника: слова "Не бросать в канализацию" и/или рисунок, понятно отображающий эти указания;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информацию о наличии специальных ингредиентов;</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отличительные характеристики подгузника в соответствии с техническим исполнением (в виде рисунков и/или текста);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номер артикула (при наличии);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количество подгузников в упаковке;</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дату (месяц, год) изготовления;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срок годности, устанавливаемый изготовителем;</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обозначение настоящего стандарта;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 xml:space="preserve">- штриховой код (при наличии).       </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lastRenderedPageBreak/>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4.6. Маркировка грузовых мест (транспортной тары) - по </w:t>
      </w:r>
      <w:hyperlink r:id="rId8" w:history="1">
        <w:r>
          <w:rPr>
            <w:spacing w:val="2"/>
            <w:lang w:eastAsia="ru-RU"/>
          </w:rPr>
          <w:t xml:space="preserve">ГОСТ </w:t>
        </w:r>
        <w:r w:rsidRPr="00C13CCF">
          <w:rPr>
            <w:spacing w:val="2"/>
            <w:lang w:eastAsia="ru-RU"/>
          </w:rPr>
          <w:t>14192</w:t>
        </w:r>
      </w:hyperlink>
      <w:r w:rsidRPr="00C13CCF">
        <w:rPr>
          <w:spacing w:val="2"/>
          <w:lang w:eastAsia="ru-RU"/>
        </w:rPr>
        <w:t>-96 с нанесением манипуляционного знака "Беречь от влаги".</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Маркировка, характеризующая упакованную продукцию, - по </w:t>
      </w:r>
      <w:hyperlink r:id="rId9" w:history="1">
        <w:r w:rsidRPr="00C13CCF">
          <w:rPr>
            <w:spacing w:val="2"/>
            <w:lang w:eastAsia="ru-RU"/>
          </w:rPr>
          <w:t>ГОСТ 6658</w:t>
        </w:r>
      </w:hyperlink>
      <w:r w:rsidRPr="00C13CCF">
        <w:rPr>
          <w:spacing w:val="2"/>
          <w:lang w:eastAsia="ru-RU"/>
        </w:rPr>
        <w:t>-75 с указанием номера партии, наименования группы подгузников. Артикул при его отсутствии не указывают.</w:t>
      </w:r>
    </w:p>
    <w:p w:rsidR="000E041B" w:rsidRPr="00C13CCF" w:rsidRDefault="000E041B" w:rsidP="000E041B">
      <w:pPr>
        <w:shd w:val="clear" w:color="auto" w:fill="FFFFFF"/>
        <w:suppressAutoHyphens w:val="0"/>
        <w:jc w:val="both"/>
        <w:textAlignment w:val="baseline"/>
        <w:rPr>
          <w:spacing w:val="2"/>
          <w:lang w:eastAsia="ru-RU"/>
        </w:rPr>
      </w:pPr>
      <w:r w:rsidRPr="00C13CCF">
        <w:rPr>
          <w:spacing w:val="2"/>
          <w:lang w:eastAsia="ru-RU"/>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Не допускается механическое повреждение упаковки, открывающее доступ к поверхности подгузника.</w:t>
      </w:r>
    </w:p>
    <w:p w:rsidR="000E041B" w:rsidRPr="00C13CCF" w:rsidRDefault="000E041B" w:rsidP="000E041B">
      <w:pPr>
        <w:shd w:val="clear" w:color="auto" w:fill="FFFFFF"/>
        <w:suppressAutoHyphens w:val="0"/>
        <w:ind w:left="360"/>
        <w:jc w:val="center"/>
        <w:textAlignment w:val="baseline"/>
        <w:rPr>
          <w:spacing w:val="2"/>
          <w:lang w:eastAsia="ru-RU"/>
        </w:rPr>
      </w:pPr>
      <w:r w:rsidRPr="00C13CCF">
        <w:rPr>
          <w:b/>
          <w:bCs/>
          <w:spacing w:val="2"/>
          <w:lang w:eastAsia="ru-RU"/>
        </w:rPr>
        <w:t>5. Транспортная упаковка</w:t>
      </w:r>
      <w:r w:rsidRPr="00C13CCF">
        <w:rPr>
          <w:spacing w:val="2"/>
          <w:lang w:eastAsia="ru-RU"/>
        </w:rPr>
        <w:t>.</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Подгузники, упакованные в потребительскую упаковку, упаковывают в кипу, ящик по </w:t>
      </w:r>
      <w:hyperlink r:id="rId10" w:history="1">
        <w:r w:rsidRPr="00C13CCF">
          <w:rPr>
            <w:spacing w:val="2"/>
            <w:lang w:eastAsia="ru-RU"/>
          </w:rPr>
          <w:t>ГОСТ 6658</w:t>
        </w:r>
      </w:hyperlink>
      <w:r w:rsidRPr="00C13CCF">
        <w:rPr>
          <w:spacing w:val="2"/>
          <w:lang w:eastAsia="ru-RU"/>
        </w:rPr>
        <w:t>-75 (раздел 3).</w:t>
      </w:r>
    </w:p>
    <w:p w:rsidR="000E041B" w:rsidRPr="00C13CCF" w:rsidRDefault="000E041B" w:rsidP="000E041B">
      <w:pPr>
        <w:shd w:val="clear" w:color="auto" w:fill="FFFFFF"/>
        <w:suppressAutoHyphens w:val="0"/>
        <w:ind w:firstLine="708"/>
        <w:jc w:val="both"/>
        <w:textAlignment w:val="baseline"/>
        <w:rPr>
          <w:spacing w:val="2"/>
          <w:lang w:eastAsia="ru-RU"/>
        </w:rPr>
      </w:pPr>
      <w:r w:rsidRPr="00C13CCF">
        <w:rPr>
          <w:spacing w:val="2"/>
          <w:lang w:eastAsia="ru-RU"/>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0E041B" w:rsidRPr="00C13CCF" w:rsidRDefault="000E041B" w:rsidP="000E041B">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утвержденные образцы-эталонов по ГОСТ 15.009-91 на каждый вид и партию подгузников (при наличии);</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0E041B" w:rsidRPr="00C13CCF" w:rsidRDefault="000E041B" w:rsidP="000E041B">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0E041B" w:rsidRPr="00C13CCF" w:rsidRDefault="000E041B" w:rsidP="000E041B">
      <w:pPr>
        <w:autoSpaceDE w:val="0"/>
        <w:ind w:left="284" w:firstLine="612"/>
        <w:jc w:val="both"/>
        <w:rPr>
          <w:rFonts w:eastAsia="Arial" w:cs="Arial"/>
          <w:color w:val="000000"/>
          <w:spacing w:val="-4"/>
          <w:szCs w:val="20"/>
        </w:rPr>
      </w:pPr>
    </w:p>
    <w:tbl>
      <w:tblPr>
        <w:tblW w:w="10206" w:type="dxa"/>
        <w:tblInd w:w="108" w:type="dxa"/>
        <w:tblLayout w:type="fixed"/>
        <w:tblCellMar>
          <w:left w:w="10" w:type="dxa"/>
          <w:right w:w="10" w:type="dxa"/>
        </w:tblCellMar>
        <w:tblLook w:val="0000" w:firstRow="0" w:lastRow="0" w:firstColumn="0" w:lastColumn="0" w:noHBand="0" w:noVBand="0"/>
      </w:tblPr>
      <w:tblGrid>
        <w:gridCol w:w="3930"/>
        <w:gridCol w:w="6276"/>
      </w:tblGrid>
      <w:tr w:rsidR="000E041B" w:rsidRPr="00B02C8D" w:rsidTr="00420F96">
        <w:trPr>
          <w:trHeight w:val="1407"/>
        </w:trPr>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420F96">
            <w:pPr>
              <w:pStyle w:val="Standard"/>
              <w:keepNext/>
              <w:snapToGrid w:val="0"/>
              <w:spacing w:line="100" w:lineRule="atLeast"/>
              <w:jc w:val="center"/>
              <w:rPr>
                <w:b/>
                <w:sz w:val="22"/>
                <w:szCs w:val="22"/>
                <w:lang w:val="ru-RU"/>
              </w:rPr>
            </w:pPr>
            <w:r w:rsidRPr="00B02C8D">
              <w:rPr>
                <w:b/>
                <w:sz w:val="22"/>
                <w:szCs w:val="22"/>
                <w:lang w:val="ru-RU"/>
              </w:rPr>
              <w:lastRenderedPageBreak/>
              <w:t>Срок поставки</w:t>
            </w: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762DC1">
            <w:pPr>
              <w:keepNext/>
              <w:suppressAutoHyphens w:val="0"/>
              <w:snapToGrid w:val="0"/>
              <w:jc w:val="both"/>
              <w:textAlignment w:val="baseline"/>
              <w:rPr>
                <w:rFonts w:eastAsia="Arial"/>
                <w:color w:val="000000"/>
                <w:spacing w:val="-4"/>
                <w:sz w:val="22"/>
                <w:szCs w:val="22"/>
                <w:lang w:eastAsia="en-US"/>
              </w:rPr>
            </w:pPr>
            <w:r w:rsidRPr="00B60E42">
              <w:rPr>
                <w:rFonts w:eastAsia="Arial"/>
                <w:color w:val="000000"/>
                <w:spacing w:val="-4"/>
                <w:sz w:val="22"/>
                <w:szCs w:val="22"/>
                <w:lang w:eastAsia="en-US"/>
              </w:rPr>
              <w:t>В течение 2018 года. Поставка не менее 20 % от общего объема Товара в Ивановскую область в организованные Поставщиком пункты выдачи технических средств реабилитации в течение 5 (Пяти) календарных дней, а остальной объем Товара в течение 20 календарных дней со дня заключения Контракта (до 01.1</w:t>
            </w:r>
            <w:r w:rsidR="00762DC1">
              <w:rPr>
                <w:rFonts w:eastAsia="Arial"/>
                <w:color w:val="000000"/>
                <w:spacing w:val="-4"/>
                <w:sz w:val="22"/>
                <w:szCs w:val="22"/>
                <w:lang w:eastAsia="en-US"/>
              </w:rPr>
              <w:t>2</w:t>
            </w:r>
            <w:r w:rsidRPr="00B60E42">
              <w:rPr>
                <w:rFonts w:eastAsia="Arial"/>
                <w:color w:val="000000"/>
                <w:spacing w:val="-4"/>
                <w:sz w:val="22"/>
                <w:szCs w:val="22"/>
                <w:lang w:eastAsia="en-US"/>
              </w:rPr>
              <w:t xml:space="preserve">.2018 должно быть выдано 100% общего объема требуемого Товара). </w:t>
            </w:r>
          </w:p>
        </w:tc>
      </w:tr>
      <w:tr w:rsidR="000E041B" w:rsidRPr="00B02C8D" w:rsidTr="00420F96">
        <w:tc>
          <w:tcPr>
            <w:tcW w:w="3930" w:type="dxa"/>
            <w:tcBorders>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F95157">
            <w:pPr>
              <w:pStyle w:val="Standard"/>
              <w:keepNext/>
              <w:snapToGrid w:val="0"/>
              <w:spacing w:line="100" w:lineRule="atLeast"/>
              <w:jc w:val="center"/>
              <w:rPr>
                <w:b/>
                <w:bCs/>
                <w:sz w:val="22"/>
                <w:szCs w:val="22"/>
                <w:lang w:val="ru-RU"/>
              </w:rPr>
            </w:pPr>
            <w:r w:rsidRPr="00B02C8D">
              <w:rPr>
                <w:b/>
                <w:bCs/>
                <w:sz w:val="22"/>
                <w:szCs w:val="22"/>
                <w:lang w:val="ru-RU"/>
              </w:rPr>
              <w:t xml:space="preserve">Срок доставки до инвалида со дня получения Поставщиком </w:t>
            </w:r>
            <w:r w:rsidR="00F95157">
              <w:rPr>
                <w:b/>
                <w:bCs/>
                <w:sz w:val="22"/>
                <w:szCs w:val="22"/>
                <w:lang w:val="ru-RU"/>
              </w:rPr>
              <w:t>Направления</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F95157">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551FB">
              <w:rPr>
                <w:rFonts w:eastAsia="Arial"/>
                <w:color w:val="000000"/>
                <w:spacing w:val="-4"/>
                <w:sz w:val="22"/>
                <w:szCs w:val="22"/>
                <w:lang w:val="ru-RU"/>
              </w:rPr>
              <w:t xml:space="preserve">Срок доставки Товара до инвалида не более </w:t>
            </w:r>
            <w:r w:rsidR="00762DC1">
              <w:rPr>
                <w:rFonts w:eastAsia="Arial"/>
                <w:color w:val="000000"/>
                <w:spacing w:val="-4"/>
                <w:sz w:val="22"/>
                <w:szCs w:val="22"/>
                <w:lang w:val="ru-RU"/>
              </w:rPr>
              <w:t>2</w:t>
            </w:r>
            <w:r w:rsidRPr="005551FB">
              <w:rPr>
                <w:rFonts w:eastAsia="Arial"/>
                <w:color w:val="000000"/>
                <w:spacing w:val="-4"/>
                <w:sz w:val="22"/>
                <w:szCs w:val="22"/>
                <w:lang w:val="ru-RU"/>
              </w:rPr>
              <w:t>0 (Д</w:t>
            </w:r>
            <w:r w:rsidR="00762DC1">
              <w:rPr>
                <w:rFonts w:eastAsia="Arial"/>
                <w:color w:val="000000"/>
                <w:spacing w:val="-4"/>
                <w:sz w:val="22"/>
                <w:szCs w:val="22"/>
                <w:lang w:val="ru-RU"/>
              </w:rPr>
              <w:t>вадца</w:t>
            </w:r>
            <w:r w:rsidRPr="005551FB">
              <w:rPr>
                <w:rFonts w:eastAsia="Arial"/>
                <w:color w:val="000000"/>
                <w:spacing w:val="-4"/>
                <w:sz w:val="22"/>
                <w:szCs w:val="22"/>
                <w:lang w:val="ru-RU"/>
              </w:rPr>
              <w:t xml:space="preserve">ти) календарных дней со дня получения Поставщиком </w:t>
            </w:r>
            <w:r w:rsidR="00F95157">
              <w:rPr>
                <w:rFonts w:eastAsia="Arial"/>
                <w:color w:val="000000"/>
                <w:spacing w:val="-4"/>
                <w:sz w:val="22"/>
                <w:szCs w:val="22"/>
                <w:lang w:val="ru-RU"/>
              </w:rPr>
              <w:t>Направления</w:t>
            </w:r>
          </w:p>
        </w:tc>
      </w:tr>
      <w:tr w:rsidR="000E041B" w:rsidRPr="00B02C8D" w:rsidTr="00420F96">
        <w:trPr>
          <w:trHeight w:val="508"/>
        </w:trPr>
        <w:tc>
          <w:tcPr>
            <w:tcW w:w="39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420F96">
            <w:pPr>
              <w:pStyle w:val="Standard"/>
              <w:keepNext/>
              <w:snapToGrid w:val="0"/>
              <w:spacing w:line="100" w:lineRule="atLeast"/>
              <w:jc w:val="center"/>
              <w:rPr>
                <w:b/>
                <w:sz w:val="22"/>
                <w:szCs w:val="22"/>
                <w:lang w:val="ru-RU"/>
              </w:rPr>
            </w:pPr>
            <w:r w:rsidRPr="00B02C8D">
              <w:rPr>
                <w:b/>
                <w:sz w:val="22"/>
                <w:szCs w:val="22"/>
                <w:lang w:val="ru-RU"/>
              </w:rPr>
              <w:t>Место поставки</w:t>
            </w:r>
          </w:p>
        </w:tc>
        <w:tc>
          <w:tcPr>
            <w:tcW w:w="6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420F96">
            <w:pPr>
              <w:pStyle w:val="Standard"/>
              <w:snapToGrid w:val="0"/>
              <w:spacing w:line="100" w:lineRule="atLeast"/>
              <w:jc w:val="both"/>
              <w:rPr>
                <w:sz w:val="22"/>
                <w:szCs w:val="22"/>
                <w:lang w:val="ru-RU"/>
              </w:rPr>
            </w:pPr>
            <w:r w:rsidRPr="005551FB">
              <w:rPr>
                <w:rFonts w:eastAsia="Arial"/>
                <w:bCs/>
                <w:iCs/>
                <w:spacing w:val="-2"/>
                <w:sz w:val="22"/>
                <w:szCs w:val="22"/>
                <w:lang w:val="ru-RU"/>
              </w:rPr>
              <w:t xml:space="preserve">Ивановская область. Поставка осуществляется в </w:t>
            </w:r>
            <w:r w:rsidRPr="005551FB">
              <w:rPr>
                <w:rFonts w:eastAsia="Arial"/>
                <w:iCs/>
                <w:spacing w:val="-2"/>
                <w:sz w:val="22"/>
                <w:szCs w:val="22"/>
                <w:lang w:val="ru-RU"/>
              </w:rPr>
              <w:t>организованные Поставщиком пункты выдачи технических средств реабилитации. При наличии направлений Фонда доставка производится</w:t>
            </w:r>
            <w:r w:rsidRPr="005551FB">
              <w:rPr>
                <w:rFonts w:eastAsia="Arial"/>
                <w:i/>
                <w:iCs/>
                <w:spacing w:val="-2"/>
                <w:sz w:val="22"/>
                <w:szCs w:val="22"/>
                <w:lang w:val="ru-RU"/>
              </w:rPr>
              <w:t xml:space="preserve"> </w:t>
            </w:r>
            <w:r w:rsidRPr="005551FB">
              <w:rPr>
                <w:rFonts w:eastAsia="Arial"/>
                <w:bCs/>
                <w:iCs/>
                <w:spacing w:val="-2"/>
                <w:sz w:val="22"/>
                <w:szCs w:val="22"/>
                <w:lang w:val="ru-RU"/>
              </w:rPr>
              <w:t>по месту жительства инвалида.</w:t>
            </w:r>
          </w:p>
        </w:tc>
      </w:tr>
      <w:tr w:rsidR="000E041B" w:rsidRPr="00B02C8D" w:rsidTr="00420F96">
        <w:trPr>
          <w:trHeight w:val="508"/>
        </w:trPr>
        <w:tc>
          <w:tcPr>
            <w:tcW w:w="3930" w:type="dxa"/>
            <w:tcBorders>
              <w:left w:val="single" w:sz="4" w:space="0" w:color="000000"/>
              <w:bottom w:val="single" w:sz="4" w:space="0" w:color="000000"/>
            </w:tcBorders>
            <w:tcMar>
              <w:top w:w="0" w:type="dxa"/>
              <w:left w:w="108" w:type="dxa"/>
              <w:bottom w:w="0" w:type="dxa"/>
              <w:right w:w="108" w:type="dxa"/>
            </w:tcMar>
            <w:vAlign w:val="center"/>
          </w:tcPr>
          <w:p w:rsidR="000E041B" w:rsidRPr="00B02C8D" w:rsidRDefault="000E041B" w:rsidP="00420F96">
            <w:pPr>
              <w:pStyle w:val="Standard"/>
              <w:keepNext/>
              <w:snapToGrid w:val="0"/>
              <w:spacing w:line="100" w:lineRule="atLeast"/>
              <w:jc w:val="center"/>
              <w:rPr>
                <w:b/>
                <w:sz w:val="22"/>
                <w:szCs w:val="22"/>
                <w:lang w:val="ru-RU"/>
              </w:rPr>
            </w:pPr>
            <w:r w:rsidRPr="00B02C8D">
              <w:rPr>
                <w:b/>
                <w:sz w:val="22"/>
                <w:szCs w:val="22"/>
                <w:lang w:val="ru-RU"/>
              </w:rPr>
              <w:t>Условия поставки</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E041B" w:rsidRPr="005551FB" w:rsidRDefault="000E041B" w:rsidP="00420F96">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551FB">
              <w:rPr>
                <w:rFonts w:eastAsia="Arial"/>
                <w:color w:val="000000"/>
                <w:spacing w:val="-4"/>
                <w:sz w:val="22"/>
                <w:szCs w:val="22"/>
                <w:lang w:val="ru-RU"/>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0E041B" w:rsidRPr="00B02C8D" w:rsidTr="00420F96">
        <w:trPr>
          <w:trHeight w:val="508"/>
        </w:trPr>
        <w:tc>
          <w:tcPr>
            <w:tcW w:w="3930" w:type="dxa"/>
            <w:tcBorders>
              <w:left w:val="single" w:sz="4" w:space="0" w:color="000000"/>
              <w:bottom w:val="single" w:sz="4" w:space="0" w:color="000000"/>
            </w:tcBorders>
            <w:tcMar>
              <w:top w:w="0" w:type="dxa"/>
              <w:left w:w="108" w:type="dxa"/>
              <w:bottom w:w="0" w:type="dxa"/>
              <w:right w:w="108" w:type="dxa"/>
            </w:tcMar>
          </w:tcPr>
          <w:p w:rsidR="000E041B" w:rsidRPr="00A04977" w:rsidRDefault="000E041B" w:rsidP="00420F96">
            <w:pPr>
              <w:jc w:val="center"/>
              <w:rPr>
                <w:b/>
                <w:sz w:val="22"/>
              </w:rPr>
            </w:pPr>
            <w:r w:rsidRPr="00A04977">
              <w:rPr>
                <w:b/>
                <w:sz w:val="22"/>
              </w:rPr>
              <w:t xml:space="preserve">Срок годности </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0E041B" w:rsidRPr="00A04977" w:rsidRDefault="000E041B" w:rsidP="00420F96">
            <w:pPr>
              <w:rPr>
                <w:sz w:val="22"/>
              </w:rPr>
            </w:pPr>
            <w:r w:rsidRPr="00A04977">
              <w:rPr>
                <w:sz w:val="22"/>
              </w:rPr>
              <w:t>не менее 3 лет.</w:t>
            </w:r>
          </w:p>
        </w:tc>
      </w:tr>
      <w:tr w:rsidR="000E041B" w:rsidRPr="00B02C8D" w:rsidTr="00420F96">
        <w:trPr>
          <w:trHeight w:val="508"/>
        </w:trPr>
        <w:tc>
          <w:tcPr>
            <w:tcW w:w="3930" w:type="dxa"/>
            <w:tcBorders>
              <w:left w:val="single" w:sz="4" w:space="0" w:color="000000"/>
              <w:bottom w:val="single" w:sz="4" w:space="0" w:color="000000"/>
            </w:tcBorders>
            <w:tcMar>
              <w:top w:w="0" w:type="dxa"/>
              <w:left w:w="108" w:type="dxa"/>
              <w:bottom w:w="0" w:type="dxa"/>
              <w:right w:w="108" w:type="dxa"/>
            </w:tcMar>
          </w:tcPr>
          <w:p w:rsidR="000E041B" w:rsidRPr="00A04977" w:rsidRDefault="000E041B" w:rsidP="00420F96">
            <w:pPr>
              <w:jc w:val="center"/>
              <w:rPr>
                <w:b/>
                <w:sz w:val="22"/>
              </w:rPr>
            </w:pPr>
            <w:r w:rsidRPr="00A04977">
              <w:rPr>
                <w:b/>
                <w:sz w:val="22"/>
              </w:rPr>
              <w:t xml:space="preserve">Остаточный срок годности Товара </w:t>
            </w:r>
          </w:p>
        </w:tc>
        <w:tc>
          <w:tcPr>
            <w:tcW w:w="6276" w:type="dxa"/>
            <w:tcBorders>
              <w:left w:val="single" w:sz="4" w:space="0" w:color="000000"/>
              <w:bottom w:val="single" w:sz="4" w:space="0" w:color="000000"/>
              <w:right w:val="single" w:sz="4" w:space="0" w:color="000000"/>
            </w:tcBorders>
            <w:tcMar>
              <w:top w:w="0" w:type="dxa"/>
              <w:left w:w="108" w:type="dxa"/>
              <w:bottom w:w="0" w:type="dxa"/>
              <w:right w:w="108" w:type="dxa"/>
            </w:tcMar>
          </w:tcPr>
          <w:p w:rsidR="000E041B" w:rsidRPr="00A04977" w:rsidRDefault="000E041B" w:rsidP="00420F96">
            <w:pPr>
              <w:rPr>
                <w:sz w:val="22"/>
              </w:rPr>
            </w:pPr>
            <w:r w:rsidRPr="00A04977">
              <w:rPr>
                <w:sz w:val="22"/>
              </w:rPr>
              <w:t>Остаточный срок годности Товара на день поставки в Ивановскую область должен составлять не менее 1 года.</w:t>
            </w:r>
          </w:p>
        </w:tc>
      </w:tr>
    </w:tbl>
    <w:p w:rsidR="000E041B" w:rsidRPr="00BE5033" w:rsidRDefault="000E041B" w:rsidP="000E041B">
      <w:pPr>
        <w:pStyle w:val="Standard"/>
        <w:shd w:val="clear" w:color="auto" w:fill="FFFFFF"/>
        <w:tabs>
          <w:tab w:val="left" w:pos="348"/>
        </w:tabs>
        <w:autoSpaceDE w:val="0"/>
        <w:ind w:firstLine="540"/>
        <w:jc w:val="both"/>
        <w:rPr>
          <w:rFonts w:eastAsia="Arial" w:cs="Arial"/>
          <w:b/>
          <w:bCs/>
          <w:color w:val="000000"/>
          <w:lang w:val="ru-RU"/>
        </w:rPr>
      </w:pPr>
    </w:p>
    <w:p w:rsidR="000E041B" w:rsidRPr="00033F2C" w:rsidRDefault="000E041B" w:rsidP="000E041B">
      <w:pPr>
        <w:widowControl w:val="0"/>
        <w:shd w:val="clear" w:color="auto" w:fill="FFFFFF"/>
        <w:tabs>
          <w:tab w:val="left" w:pos="348"/>
        </w:tabs>
        <w:autoSpaceDE w:val="0"/>
        <w:jc w:val="both"/>
        <w:textAlignment w:val="baseline"/>
        <w:rPr>
          <w:rFonts w:eastAsia="Arial" w:cs="Arial"/>
          <w:b/>
          <w:bCs/>
          <w:color w:val="000000"/>
          <w:kern w:val="1"/>
          <w:lang w:eastAsia="fa-IR" w:bidi="fa-IR"/>
        </w:rPr>
      </w:pPr>
    </w:p>
    <w:p w:rsidR="000E041B" w:rsidRDefault="000E041B" w:rsidP="000E041B">
      <w:pPr>
        <w:pStyle w:val="31"/>
        <w:autoSpaceDE w:val="0"/>
        <w:ind w:left="0" w:firstLine="709"/>
        <w:rPr>
          <w:rFonts w:eastAsia="Arial" w:cs="Arial"/>
          <w:color w:val="000000"/>
          <w:spacing w:val="-4"/>
          <w:sz w:val="24"/>
        </w:rPr>
      </w:pPr>
      <w:r w:rsidRPr="008663B3">
        <w:rPr>
          <w:rFonts w:eastAsia="Arial" w:cs="Arial"/>
          <w:color w:val="000000"/>
          <w:spacing w:val="-4"/>
          <w:sz w:val="24"/>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8663B3">
        <w:rPr>
          <w:rFonts w:eastAsia="Arial" w:cs="Arial"/>
          <w:i/>
          <w:color w:val="000000"/>
          <w:spacing w:val="-4"/>
          <w:sz w:val="24"/>
        </w:rPr>
        <w:t>(в случае исполь</w:t>
      </w:r>
      <w:r>
        <w:rPr>
          <w:rFonts w:eastAsia="Arial" w:cs="Arial"/>
          <w:i/>
          <w:color w:val="000000"/>
          <w:spacing w:val="-4"/>
          <w:sz w:val="24"/>
        </w:rPr>
        <w:t xml:space="preserve">зования и/или не использования </w:t>
      </w:r>
      <w:r w:rsidRPr="008663B3">
        <w:rPr>
          <w:rFonts w:eastAsia="Arial" w:cs="Arial"/>
          <w:i/>
          <w:color w:val="000000"/>
          <w:spacing w:val="-4"/>
          <w:sz w:val="24"/>
        </w:rPr>
        <w:t>Заказчиком таких показателей).</w:t>
      </w:r>
    </w:p>
    <w:p w:rsidR="000E041B" w:rsidRPr="00D407B8" w:rsidRDefault="000E041B" w:rsidP="000E041B">
      <w:pPr>
        <w:pStyle w:val="31"/>
        <w:autoSpaceDE w:val="0"/>
        <w:ind w:left="0" w:firstLine="612"/>
        <w:rPr>
          <w:rFonts w:eastAsia="Arial" w:cs="Arial"/>
          <w:color w:val="000000"/>
          <w:sz w:val="24"/>
        </w:rPr>
      </w:pPr>
      <w:r>
        <w:rPr>
          <w:rFonts w:eastAsia="Arial" w:cs="Arial"/>
          <w:color w:val="000000"/>
          <w:sz w:val="24"/>
        </w:rPr>
        <w:t>В случае</w:t>
      </w:r>
      <w:r w:rsidRPr="00BE5033">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0E041B" w:rsidRPr="00381CAE" w:rsidRDefault="000E041B" w:rsidP="000E041B">
      <w:pPr>
        <w:pStyle w:val="31"/>
        <w:autoSpaceDE w:val="0"/>
        <w:ind w:left="0" w:firstLine="709"/>
        <w:rPr>
          <w:rFonts w:eastAsia="Arial" w:cs="Arial"/>
          <w:color w:val="000000"/>
          <w:spacing w:val="-4"/>
          <w:sz w:val="24"/>
        </w:rPr>
      </w:pPr>
      <w:r w:rsidRPr="00381CAE">
        <w:rPr>
          <w:rFonts w:eastAsia="Arial" w:cs="Arial"/>
          <w:color w:val="000000"/>
          <w:spacing w:val="-4"/>
          <w:sz w:val="24"/>
          <w:szCs w:val="24"/>
        </w:rPr>
        <w:t xml:space="preserve">После проведения аукциона в электронной форме при заключении контракта на поставку технических средств реабилитации </w:t>
      </w:r>
      <w:r>
        <w:rPr>
          <w:rFonts w:eastAsia="Arial" w:cs="Arial"/>
          <w:color w:val="000000"/>
          <w:spacing w:val="-4"/>
          <w:sz w:val="24"/>
          <w:szCs w:val="24"/>
        </w:rPr>
        <w:t>-</w:t>
      </w:r>
      <w:r w:rsidRPr="00381CAE">
        <w:rPr>
          <w:sz w:val="24"/>
          <w:szCs w:val="24"/>
        </w:rPr>
        <w:t xml:space="preserve"> </w:t>
      </w:r>
      <w:r w:rsidRPr="00EF6B24">
        <w:rPr>
          <w:sz w:val="24"/>
          <w:szCs w:val="24"/>
        </w:rPr>
        <w:t>подгузников для взрослых для обеспечения ими инвалидов</w:t>
      </w:r>
      <w:r w:rsidRPr="00381CAE">
        <w:rPr>
          <w:rFonts w:eastAsia="Arial" w:cs="Arial"/>
          <w:color w:val="000000"/>
          <w:spacing w:val="-4"/>
          <w:sz w:val="24"/>
          <w:szCs w:val="24"/>
        </w:rPr>
        <w:t>, цена за единицу товара определяется путем снижения начальной</w:t>
      </w:r>
      <w:r>
        <w:rPr>
          <w:rFonts w:eastAsia="Arial" w:cs="Arial"/>
          <w:color w:val="000000"/>
          <w:spacing w:val="-4"/>
          <w:sz w:val="24"/>
        </w:rPr>
        <w:t xml:space="preserve"> (максимальной) цены контракта пропорционально снижению начальной (максимальной) цены за единицу товара.</w:t>
      </w:r>
    </w:p>
    <w:p w:rsidR="000E041B" w:rsidRPr="002703AB" w:rsidRDefault="000E041B" w:rsidP="000E041B">
      <w:pPr>
        <w:keepNext/>
        <w:widowControl w:val="0"/>
        <w:shd w:val="clear" w:color="auto" w:fill="FFFFFF"/>
        <w:tabs>
          <w:tab w:val="left" w:pos="0"/>
        </w:tabs>
        <w:ind w:right="140" w:firstLine="709"/>
        <w:jc w:val="both"/>
        <w:rPr>
          <w:b/>
        </w:rPr>
      </w:pPr>
    </w:p>
    <w:p w:rsidR="00C2497C" w:rsidRDefault="00C2497C"/>
    <w:sectPr w:rsidR="00C2497C" w:rsidSect="00CD3A32">
      <w:footerReference w:type="default" r:id="rId11"/>
      <w:pgSz w:w="11906" w:h="16838"/>
      <w:pgMar w:top="851" w:right="709"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29D" w:rsidRDefault="00762DC1">
      <w:r>
        <w:separator/>
      </w:r>
    </w:p>
  </w:endnote>
  <w:endnote w:type="continuationSeparator" w:id="0">
    <w:p w:rsidR="002B629D" w:rsidRDefault="007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74" w:rsidRDefault="000E041B">
    <w:pPr>
      <w:pStyle w:val="a3"/>
      <w:jc w:val="center"/>
    </w:pPr>
    <w:r>
      <w:fldChar w:fldCharType="begin"/>
    </w:r>
    <w:r>
      <w:instrText>PAGE   \* MERGEFORMAT</w:instrText>
    </w:r>
    <w:r>
      <w:fldChar w:fldCharType="separate"/>
    </w:r>
    <w:r w:rsidR="00650E75">
      <w:rPr>
        <w:noProof/>
      </w:rPr>
      <w:t>4</w:t>
    </w:r>
    <w:r>
      <w:rPr>
        <w:noProof/>
      </w:rPr>
      <w:fldChar w:fldCharType="end"/>
    </w:r>
  </w:p>
  <w:p w:rsidR="001E4074" w:rsidRDefault="00650E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29D" w:rsidRDefault="00762DC1">
      <w:r>
        <w:separator/>
      </w:r>
    </w:p>
  </w:footnote>
  <w:footnote w:type="continuationSeparator" w:id="0">
    <w:p w:rsidR="002B629D" w:rsidRDefault="00762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20BD2"/>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1B"/>
    <w:rsid w:val="00085261"/>
    <w:rsid w:val="00092064"/>
    <w:rsid w:val="000E041B"/>
    <w:rsid w:val="00167260"/>
    <w:rsid w:val="001861AC"/>
    <w:rsid w:val="001A1D6E"/>
    <w:rsid w:val="001B01E5"/>
    <w:rsid w:val="001D0651"/>
    <w:rsid w:val="00206133"/>
    <w:rsid w:val="00245292"/>
    <w:rsid w:val="0026795F"/>
    <w:rsid w:val="00281A48"/>
    <w:rsid w:val="00286991"/>
    <w:rsid w:val="002A7F94"/>
    <w:rsid w:val="002B629D"/>
    <w:rsid w:val="002D2038"/>
    <w:rsid w:val="00307A84"/>
    <w:rsid w:val="00373D74"/>
    <w:rsid w:val="004449F5"/>
    <w:rsid w:val="004722B0"/>
    <w:rsid w:val="004737FA"/>
    <w:rsid w:val="004A0671"/>
    <w:rsid w:val="0055321F"/>
    <w:rsid w:val="005B7FB2"/>
    <w:rsid w:val="00601FF2"/>
    <w:rsid w:val="00650E75"/>
    <w:rsid w:val="006A234A"/>
    <w:rsid w:val="006C46EE"/>
    <w:rsid w:val="00762DC1"/>
    <w:rsid w:val="007B569B"/>
    <w:rsid w:val="007D0A87"/>
    <w:rsid w:val="00812160"/>
    <w:rsid w:val="00900A2C"/>
    <w:rsid w:val="009043D2"/>
    <w:rsid w:val="0095267B"/>
    <w:rsid w:val="009643FF"/>
    <w:rsid w:val="009942E2"/>
    <w:rsid w:val="009D6722"/>
    <w:rsid w:val="009F70DB"/>
    <w:rsid w:val="00A23CAF"/>
    <w:rsid w:val="00A92CD0"/>
    <w:rsid w:val="00AB2ED3"/>
    <w:rsid w:val="00B52091"/>
    <w:rsid w:val="00B52205"/>
    <w:rsid w:val="00B57ACC"/>
    <w:rsid w:val="00BA343A"/>
    <w:rsid w:val="00BB311E"/>
    <w:rsid w:val="00BE7F3D"/>
    <w:rsid w:val="00C2497C"/>
    <w:rsid w:val="00C41B3B"/>
    <w:rsid w:val="00C726F5"/>
    <w:rsid w:val="00CA4246"/>
    <w:rsid w:val="00CB06A0"/>
    <w:rsid w:val="00CC550C"/>
    <w:rsid w:val="00CC5C58"/>
    <w:rsid w:val="00D75EE3"/>
    <w:rsid w:val="00D91648"/>
    <w:rsid w:val="00DC5C0B"/>
    <w:rsid w:val="00EB2254"/>
    <w:rsid w:val="00EC4673"/>
    <w:rsid w:val="00ED4123"/>
    <w:rsid w:val="00EF0575"/>
    <w:rsid w:val="00F12A9D"/>
    <w:rsid w:val="00F173D4"/>
    <w:rsid w:val="00F43BAB"/>
    <w:rsid w:val="00F450CF"/>
    <w:rsid w:val="00F73D1C"/>
    <w:rsid w:val="00F8078F"/>
    <w:rsid w:val="00F941EE"/>
    <w:rsid w:val="00F95157"/>
    <w:rsid w:val="00FF1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C4A4C-21A0-43E6-9430-0F5D8A1F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41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0E041B"/>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041B"/>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0E041B"/>
  </w:style>
  <w:style w:type="paragraph" w:customStyle="1" w:styleId="31">
    <w:name w:val="Основной текст с отступом 31"/>
    <w:basedOn w:val="a"/>
    <w:rsid w:val="000E041B"/>
    <w:pPr>
      <w:spacing w:after="120"/>
      <w:ind w:left="283"/>
      <w:jc w:val="both"/>
    </w:pPr>
    <w:rPr>
      <w:sz w:val="16"/>
      <w:szCs w:val="20"/>
    </w:rPr>
  </w:style>
  <w:style w:type="paragraph" w:styleId="a3">
    <w:name w:val="footer"/>
    <w:basedOn w:val="a"/>
    <w:link w:val="a4"/>
    <w:uiPriority w:val="99"/>
    <w:rsid w:val="000E041B"/>
    <w:pPr>
      <w:spacing w:after="60"/>
      <w:jc w:val="both"/>
    </w:pPr>
    <w:rPr>
      <w:lang w:eastAsia="ru-RU"/>
    </w:rPr>
  </w:style>
  <w:style w:type="character" w:customStyle="1" w:styleId="a4">
    <w:name w:val="Нижний колонтитул Знак"/>
    <w:basedOn w:val="a0"/>
    <w:link w:val="a3"/>
    <w:uiPriority w:val="99"/>
    <w:rsid w:val="000E041B"/>
    <w:rPr>
      <w:rFonts w:ascii="Times New Roman" w:eastAsia="Times New Roman" w:hAnsi="Times New Roman" w:cs="Times New Roman"/>
      <w:sz w:val="24"/>
      <w:szCs w:val="24"/>
      <w:lang w:eastAsia="ru-RU"/>
    </w:rPr>
  </w:style>
  <w:style w:type="paragraph" w:customStyle="1" w:styleId="Standard">
    <w:name w:val="Standard"/>
    <w:rsid w:val="000E041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67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1711452"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159F-C594-4EFC-82A7-DE45C1F6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1630</Words>
  <Characters>9297</Characters>
  <Application>Microsoft Office Word</Application>
  <DocSecurity>0</DocSecurity>
  <Lines>77</Lines>
  <Paragraphs>21</Paragraphs>
  <ScaleCrop>false</ScaleCrop>
  <Company>SPecialiST RePack</Company>
  <LinksUpToDate>false</LinksUpToDate>
  <CharactersWithSpaces>10906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lebedevaoa</dc:creator>
  <cp:lastModifiedBy>Гусева Елена Александровна</cp:lastModifiedBy>
  <cp:revision>6</cp:revision>
  <dcterms:created xsi:type="dcterms:W3CDTF">2018-04-12T11:43:00Z</dcterms:created>
  <dcterms:modified xsi:type="dcterms:W3CDTF">2018-08-02T07:57:00Z</dcterms:modified>
</cp:coreProperties>
</file>