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F7" w:rsidRDefault="00236E19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3B12F7" w:rsidRDefault="003B12F7">
      <w:pPr>
        <w:pStyle w:val="Standard"/>
        <w:jc w:val="center"/>
        <w:rPr>
          <w:sz w:val="22"/>
          <w:szCs w:val="22"/>
        </w:rPr>
      </w:pPr>
    </w:p>
    <w:p w:rsidR="003B12F7" w:rsidRDefault="00236E19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 Наименование услуг: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виде набора социальных </w:t>
      </w:r>
      <w:r>
        <w:rPr>
          <w:color w:val="000000"/>
          <w:sz w:val="22"/>
          <w:szCs w:val="22"/>
        </w:rPr>
        <w:t>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органов зрения.</w:t>
      </w:r>
    </w:p>
    <w:p w:rsidR="003B12F7" w:rsidRDefault="00236E19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предоставления наб</w:t>
      </w:r>
      <w:r>
        <w:rPr>
          <w:rFonts w:eastAsia="Arial" w:cs="Arial"/>
          <w:sz w:val="22"/>
          <w:szCs w:val="22"/>
        </w:rPr>
        <w:t>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лечению граждан - п</w:t>
      </w:r>
      <w:r>
        <w:rPr>
          <w:sz w:val="22"/>
          <w:szCs w:val="22"/>
        </w:rPr>
        <w:t>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ут</w:t>
      </w:r>
      <w:r>
        <w:rPr>
          <w:sz w:val="22"/>
          <w:szCs w:val="22"/>
        </w:rPr>
        <w:t>вержденными Министерством здравоохранения и социального развития РФ: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организации, оказывающей санаторно-курортные услуги должны соответствовать  требованиям «СП 59.13330.2012. Свод правил. Доступность зданий и сооружений для маломобильных групп населения. А</w:t>
      </w:r>
      <w:r>
        <w:rPr>
          <w:sz w:val="22"/>
          <w:szCs w:val="22"/>
        </w:rPr>
        <w:t>ктуализированная редакция СНиП 35-01-2001», утвержденным Приказом Минрегиона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</w:t>
      </w:r>
      <w:r>
        <w:rPr>
          <w:sz w:val="22"/>
          <w:szCs w:val="22"/>
        </w:rPr>
        <w:t xml:space="preserve">ширенных дверных проемов, обеспечивающих доступ больных на колясках во все функциональные подразделения учреждения, и др. </w:t>
      </w:r>
    </w:p>
    <w:p w:rsidR="003B12F7" w:rsidRDefault="00236E19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Услуги организации, оказывающей санаторно-курортные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</w:t>
      </w:r>
      <w:r>
        <w:rPr>
          <w:color w:val="000000"/>
          <w:sz w:val="22"/>
          <w:szCs w:val="22"/>
        </w:rPr>
        <w:t>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3B12F7" w:rsidRDefault="00236E19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</w:t>
      </w:r>
      <w:r>
        <w:rPr>
          <w:bCs/>
          <w:sz w:val="22"/>
          <w:szCs w:val="22"/>
        </w:rPr>
        <w:t>ольных с заболеваниями опорно-двигательного аппарата), более пяти этажей, круглосуточная работа лифта;</w:t>
      </w:r>
    </w:p>
    <w:p w:rsidR="003B12F7" w:rsidRDefault="00236E19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</w:t>
      </w:r>
      <w:r>
        <w:rPr>
          <w:bCs/>
          <w:sz w:val="22"/>
          <w:szCs w:val="22"/>
        </w:rPr>
        <w:t xml:space="preserve"> на каждого проживающего;</w:t>
      </w:r>
    </w:p>
    <w:p w:rsidR="003B12F7" w:rsidRDefault="00236E19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Оснащение и оборудование лечебно-диагностических отделений и кабинетов организаций, </w:t>
      </w:r>
      <w:r>
        <w:rPr>
          <w:sz w:val="22"/>
          <w:szCs w:val="22"/>
        </w:rPr>
        <w:t>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</w:t>
      </w:r>
      <w:r>
        <w:rPr>
          <w:sz w:val="22"/>
          <w:szCs w:val="22"/>
        </w:rPr>
        <w:t>циализированных санаториях больному по профилю его заболевания» (утв. Министерством здравоохранения РФ от 22.12.1999 № 99/229).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Организация, оказывающая санаторно-курортные услуги гражданам – получателям набора социальных услуг, должна располагать оснащени</w:t>
      </w:r>
      <w:r>
        <w:rPr>
          <w:sz w:val="22"/>
          <w:szCs w:val="22"/>
        </w:rPr>
        <w:t>ем жилых комнат, лечебных кабинетов, лестничных пролетов и других объектов специальными приспособлениями для ориентировки незрячих  граждан (поручни, ограждения с различной поверхностью и контрастной окраской, таблички с использованием письма по системе Бр</w:t>
      </w:r>
      <w:r>
        <w:rPr>
          <w:sz w:val="22"/>
          <w:szCs w:val="22"/>
        </w:rPr>
        <w:t>айля и др.).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Размещение  граждан - получателей в  двухместном номере со всеми удобств</w:t>
      </w:r>
      <w:r>
        <w:rPr>
          <w:sz w:val="22"/>
          <w:szCs w:val="22"/>
        </w:rPr>
        <w:t xml:space="preserve">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диетического и лечебного питания в соответствии с медицинск</w:t>
      </w:r>
      <w:r>
        <w:rPr>
          <w:sz w:val="22"/>
          <w:szCs w:val="22"/>
        </w:rPr>
        <w:t>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</w:t>
      </w:r>
      <w:r>
        <w:rPr>
          <w:sz w:val="22"/>
          <w:szCs w:val="22"/>
        </w:rPr>
        <w:t>ганизован с учетом специфики граждан льготных категорий.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</w:t>
      </w:r>
      <w:r>
        <w:rPr>
          <w:sz w:val="22"/>
          <w:szCs w:val="22"/>
        </w:rPr>
        <w:t>сийской Федерации.</w:t>
      </w:r>
    </w:p>
    <w:p w:rsidR="003B12F7" w:rsidRDefault="00236E19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путевок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</w:t>
      </w:r>
      <w:r>
        <w:rPr>
          <w:sz w:val="22"/>
          <w:szCs w:val="22"/>
        </w:rPr>
        <w:t>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имеющим л</w:t>
      </w:r>
      <w:r>
        <w:rPr>
          <w:sz w:val="22"/>
          <w:szCs w:val="22"/>
        </w:rPr>
        <w:t xml:space="preserve">ицензию на вид  деятельности «Педиатрия».  </w:t>
      </w:r>
    </w:p>
    <w:p w:rsidR="003B12F7" w:rsidRDefault="00236E19">
      <w:pPr>
        <w:pStyle w:val="Standard"/>
        <w:ind w:firstLine="709"/>
        <w:jc w:val="both"/>
      </w:pPr>
      <w:r>
        <w:rPr>
          <w:sz w:val="22"/>
          <w:szCs w:val="22"/>
        </w:rPr>
        <w:t>Место оказания услуг: Российская Федерация, регион Кавказских Минеральных Вод,</w:t>
      </w:r>
      <w:r>
        <w:rPr>
          <w:color w:val="000000"/>
          <w:sz w:val="22"/>
          <w:szCs w:val="22"/>
        </w:rPr>
        <w:t xml:space="preserve"> курорт Пятигорск.</w:t>
      </w:r>
    </w:p>
    <w:p w:rsidR="003B12F7" w:rsidRDefault="00236E19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10.05.2018 и не позднее 10.10.2018.</w:t>
      </w:r>
    </w:p>
    <w:p w:rsidR="003B12F7" w:rsidRDefault="00236E19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 г.Ставрополь,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3B12F7" w:rsidRDefault="003B12F7">
      <w:pPr>
        <w:pStyle w:val="Standard"/>
        <w:ind w:firstLine="709"/>
        <w:jc w:val="both"/>
        <w:rPr>
          <w:sz w:val="26"/>
          <w:szCs w:val="26"/>
        </w:rPr>
      </w:pPr>
    </w:p>
    <w:p w:rsidR="003B12F7" w:rsidRDefault="003B12F7">
      <w:pPr>
        <w:pStyle w:val="Standard"/>
        <w:ind w:firstLine="711"/>
        <w:jc w:val="both"/>
        <w:rPr>
          <w:sz w:val="26"/>
          <w:szCs w:val="26"/>
        </w:rPr>
      </w:pPr>
    </w:p>
    <w:p w:rsidR="003B12F7" w:rsidRDefault="003B12F7">
      <w:pPr>
        <w:pStyle w:val="Standard"/>
        <w:ind w:firstLine="711"/>
        <w:jc w:val="both"/>
        <w:rPr>
          <w:sz w:val="26"/>
          <w:szCs w:val="26"/>
        </w:rPr>
      </w:pPr>
    </w:p>
    <w:p w:rsidR="003B12F7" w:rsidRDefault="003B12F7">
      <w:pPr>
        <w:pStyle w:val="Standard"/>
        <w:ind w:firstLine="711"/>
        <w:jc w:val="both"/>
        <w:rPr>
          <w:sz w:val="26"/>
          <w:szCs w:val="26"/>
        </w:rPr>
      </w:pPr>
    </w:p>
    <w:p w:rsidR="003B12F7" w:rsidRDefault="003B12F7">
      <w:pPr>
        <w:pStyle w:val="Standard"/>
        <w:ind w:firstLine="711"/>
        <w:jc w:val="both"/>
        <w:rPr>
          <w:sz w:val="26"/>
          <w:szCs w:val="26"/>
        </w:rPr>
      </w:pPr>
    </w:p>
    <w:p w:rsidR="003B12F7" w:rsidRDefault="003B12F7">
      <w:pPr>
        <w:pStyle w:val="Standard"/>
        <w:ind w:firstLine="711"/>
        <w:jc w:val="both"/>
        <w:rPr>
          <w:sz w:val="26"/>
          <w:szCs w:val="26"/>
        </w:rPr>
      </w:pPr>
    </w:p>
    <w:sectPr w:rsidR="003B12F7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19" w:rsidRDefault="00236E19">
      <w:r>
        <w:separator/>
      </w:r>
    </w:p>
  </w:endnote>
  <w:endnote w:type="continuationSeparator" w:id="0">
    <w:p w:rsidR="00236E19" w:rsidRDefault="0023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19" w:rsidRDefault="00236E19">
      <w:r>
        <w:rPr>
          <w:color w:val="000000"/>
        </w:rPr>
        <w:separator/>
      </w:r>
    </w:p>
  </w:footnote>
  <w:footnote w:type="continuationSeparator" w:id="0">
    <w:p w:rsidR="00236E19" w:rsidRDefault="0023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12F7"/>
    <w:rsid w:val="00236E19"/>
    <w:rsid w:val="003B12F7"/>
    <w:rsid w:val="00B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A2B20-83B8-4451-A83C-7645AB33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2018-03-13T07:30:00Z</dcterms:created>
  <dcterms:modified xsi:type="dcterms:W3CDTF">2018-03-13T07:30:00Z</dcterms:modified>
</cp:coreProperties>
</file>