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F3" w:rsidRDefault="004E18F3" w:rsidP="004E18F3">
      <w:pPr>
        <w:keepNext/>
        <w:keepLines/>
        <w:jc w:val="center"/>
        <w:rPr>
          <w:b/>
          <w:bCs/>
          <w:szCs w:val="28"/>
        </w:rPr>
      </w:pPr>
      <w:r>
        <w:rPr>
          <w:b/>
          <w:bCs/>
          <w:szCs w:val="28"/>
        </w:rPr>
        <w:t>Техническое задание</w:t>
      </w:r>
    </w:p>
    <w:p w:rsidR="004E18F3" w:rsidRDefault="004E18F3" w:rsidP="004E18F3">
      <w:pPr>
        <w:keepNext/>
        <w:keepLines/>
        <w:tabs>
          <w:tab w:val="left" w:pos="8232"/>
        </w:tabs>
        <w:jc w:val="center"/>
      </w:pPr>
      <w:r>
        <w:rPr>
          <w:b/>
        </w:rPr>
        <w:t>«</w:t>
      </w:r>
      <w:r>
        <w:rPr>
          <w:szCs w:val="28"/>
        </w:rPr>
        <w:t>Выполнение работ по обеспечению пострадавших  на производстве протезами нижних конечностей</w:t>
      </w:r>
      <w:r>
        <w:t>»</w:t>
      </w:r>
    </w:p>
    <w:p w:rsidR="004E18F3" w:rsidRDefault="004E18F3" w:rsidP="004E18F3">
      <w:pPr>
        <w:keepNext/>
        <w:keepLines/>
      </w:pPr>
    </w:p>
    <w:p w:rsidR="004E18F3" w:rsidRDefault="004E18F3" w:rsidP="004E18F3">
      <w:pPr>
        <w:keepNext/>
        <w:keepLines/>
        <w:widowControl w:val="0"/>
        <w:numPr>
          <w:ilvl w:val="0"/>
          <w:numId w:val="1"/>
        </w:numPr>
      </w:pPr>
      <w:r>
        <w:t>Требования к условиям выполнения работ:</w:t>
      </w:r>
    </w:p>
    <w:p w:rsidR="004E18F3" w:rsidRDefault="004E18F3" w:rsidP="004E18F3">
      <w:pPr>
        <w:keepNext/>
        <w:keepLines/>
        <w:widowControl w:val="0"/>
        <w:tabs>
          <w:tab w:val="left" w:pos="1080"/>
        </w:tabs>
        <w:ind w:left="360"/>
      </w:pPr>
      <w:r>
        <w:t xml:space="preserve"> 1.1. Все работы проведены в соответствии с настоящим Техническим заданием.</w:t>
      </w:r>
    </w:p>
    <w:p w:rsidR="004E18F3" w:rsidRDefault="004E18F3" w:rsidP="004E18F3">
      <w:pPr>
        <w:keepNext/>
        <w:keepLines/>
        <w:widowControl w:val="0"/>
        <w:tabs>
          <w:tab w:val="left" w:pos="1080"/>
        </w:tabs>
        <w:ind w:left="360"/>
      </w:pPr>
      <w:r>
        <w:t xml:space="preserve"> 1.2. Все материалы, используемые для проведения работ новые, ранее не бывшие в эксплуатации.</w:t>
      </w:r>
    </w:p>
    <w:p w:rsidR="004E18F3" w:rsidRDefault="004E18F3" w:rsidP="004E18F3">
      <w:pPr>
        <w:keepNext/>
        <w:keepLines/>
        <w:widowControl w:val="0"/>
        <w:tabs>
          <w:tab w:val="left" w:pos="1080"/>
        </w:tabs>
        <w:ind w:left="360"/>
      </w:pPr>
      <w:r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4E18F3" w:rsidRDefault="004E18F3" w:rsidP="004E18F3">
      <w:pPr>
        <w:keepNext/>
        <w:keepLines/>
        <w:widowControl w:val="0"/>
        <w:numPr>
          <w:ilvl w:val="0"/>
          <w:numId w:val="1"/>
        </w:numPr>
      </w:pPr>
      <w:r>
        <w:t>Требования к документам, подтверждающим соответствие работ  установленным требованиям:</w:t>
      </w:r>
    </w:p>
    <w:p w:rsidR="004E18F3" w:rsidRDefault="004E18F3" w:rsidP="004E18F3">
      <w:pPr>
        <w:keepNext/>
        <w:keepLines/>
        <w:widowControl w:val="0"/>
        <w:ind w:left="360"/>
      </w:pPr>
      <w:r>
        <w:t xml:space="preserve">    - соответствие ГОСТам, другим стандартам, принятым в данной области;</w:t>
      </w:r>
    </w:p>
    <w:p w:rsidR="004E18F3" w:rsidRDefault="004E18F3" w:rsidP="004E18F3">
      <w:pPr>
        <w:keepNext/>
        <w:keepLines/>
        <w:widowControl w:val="0"/>
      </w:pPr>
      <w:r>
        <w:t xml:space="preserve">     3.  Документы, передаваемые вместе с результатом работ:</w:t>
      </w:r>
    </w:p>
    <w:p w:rsidR="004E18F3" w:rsidRDefault="004E18F3" w:rsidP="004E18F3">
      <w:pPr>
        <w:keepNext/>
        <w:keepLines/>
        <w:widowControl w:val="0"/>
        <w:ind w:left="360"/>
      </w:pPr>
      <w:r>
        <w:t xml:space="preserve">    - гарантийный талон.</w:t>
      </w:r>
    </w:p>
    <w:p w:rsidR="004E18F3" w:rsidRDefault="004E18F3" w:rsidP="004E18F3">
      <w:pPr>
        <w:keepNext/>
        <w:keepLines/>
      </w:pPr>
      <w:r>
        <w:t xml:space="preserve">     4.  Требования к  количеству работ – 6  шт.</w:t>
      </w:r>
    </w:p>
    <w:p w:rsidR="004E18F3" w:rsidRDefault="004E18F3" w:rsidP="004E18F3">
      <w:pPr>
        <w:keepNext/>
        <w:keepLines/>
        <w:jc w:val="center"/>
        <w:rPr>
          <w:bCs/>
          <w:caps/>
          <w:smallCaps/>
          <w:sz w:val="22"/>
        </w:rPr>
      </w:pPr>
    </w:p>
    <w:p w:rsidR="004E18F3" w:rsidRDefault="004E18F3" w:rsidP="004E18F3">
      <w:pPr>
        <w:pStyle w:val="ac"/>
        <w:keepNext/>
        <w:keepLines/>
        <w:jc w:val="center"/>
        <w:rPr>
          <w:rFonts w:ascii="Times New Roman" w:hAnsi="Times New Roman"/>
          <w:b/>
          <w:caps/>
          <w:smallCaps/>
          <w:sz w:val="24"/>
          <w:szCs w:val="24"/>
        </w:rPr>
      </w:pPr>
      <w:r>
        <w:rPr>
          <w:rFonts w:ascii="Times New Roman" w:hAnsi="Times New Roman"/>
          <w:b/>
          <w:caps/>
          <w:smallCaps/>
          <w:sz w:val="24"/>
          <w:szCs w:val="24"/>
        </w:rPr>
        <w:t>ОБЩИЕ ТРЕБОВАНИЯ</w:t>
      </w:r>
    </w:p>
    <w:p w:rsidR="004E18F3" w:rsidRDefault="004E18F3" w:rsidP="004E18F3">
      <w:pPr>
        <w:keepNext/>
        <w:keepLines/>
        <w:rPr>
          <w:b/>
        </w:rPr>
      </w:pPr>
    </w:p>
    <w:p w:rsidR="004E18F3" w:rsidRDefault="004E18F3" w:rsidP="004E18F3">
      <w:pPr>
        <w:pStyle w:val="ae"/>
        <w:keepNext/>
        <w:keepLines/>
      </w:pPr>
      <w:r>
        <w:t>Выполняемые работы по обеспечению пострадавших на производстве протезами нижних конечностей содержат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E18F3" w:rsidRDefault="004E18F3" w:rsidP="004E18F3">
      <w:pPr>
        <w:keepNext/>
        <w:keepLines/>
      </w:pPr>
      <w:r>
        <w:t xml:space="preserve">            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                                                                                                                                          </w:t>
      </w:r>
    </w:p>
    <w:p w:rsidR="004E18F3" w:rsidRDefault="004E18F3" w:rsidP="004E18F3">
      <w:pPr>
        <w:keepNext/>
        <w:keepLines/>
        <w:rPr>
          <w:b/>
          <w:sz w:val="22"/>
          <w:u w:val="single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554"/>
        <w:gridCol w:w="2634"/>
        <w:gridCol w:w="2648"/>
        <w:gridCol w:w="844"/>
        <w:gridCol w:w="576"/>
        <w:gridCol w:w="543"/>
      </w:tblGrid>
      <w:tr w:rsidR="004E18F3" w:rsidTr="004E18F3">
        <w:trPr>
          <w:cantSplit/>
          <w:trHeight w:val="632"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8F3" w:rsidRDefault="004E18F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3" w:rsidRDefault="004E18F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результата работ (изделия)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3" w:rsidRDefault="004E18F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результата работ (изделия)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3" w:rsidRDefault="004E18F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 результата работ (изделия), предлагаемого Исполнителем с указанием конкретных характеристик &lt;*&gt;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3" w:rsidRDefault="004E18F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3" w:rsidRDefault="004E18F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4E18F3" w:rsidRDefault="004E18F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</w:tr>
      <w:tr w:rsidR="004E18F3" w:rsidTr="004E18F3">
        <w:trPr>
          <w:cantSplit/>
          <w:trHeight w:val="10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18"/>
                <w:szCs w:val="18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3" w:rsidRDefault="004E18F3">
            <w:pPr>
              <w:keepNext/>
              <w:keepLines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3" w:rsidRDefault="004E18F3">
            <w:pPr>
              <w:pStyle w:val="xl52"/>
              <w:keepNext/>
              <w:keepLines/>
              <w:pBdr>
                <w:bottom w:val="none" w:sz="0" w:space="0" w:color="auto"/>
                <w:right w:val="none" w:sz="0" w:space="0" w:color="auto"/>
              </w:pBdr>
              <w:autoSpaceDN w:val="0"/>
              <w:adjustRightInd w:val="0"/>
              <w:spacing w:before="0" w:beforeAutospacing="0" w:after="0" w:afterAutospacing="0"/>
              <w:rPr>
                <w:bCs/>
                <w:szCs w:val="18"/>
              </w:rPr>
            </w:pPr>
            <w:r>
              <w:rPr>
                <w:bCs/>
                <w:szCs w:val="18"/>
              </w:rPr>
              <w:t>Шифр изделия (при наличии) &lt;*&gt;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18"/>
                <w:szCs w:val="18"/>
              </w:rPr>
            </w:pPr>
          </w:p>
        </w:tc>
      </w:tr>
      <w:tr w:rsidR="004E18F3" w:rsidTr="004E18F3">
        <w:trPr>
          <w:trHeight w:val="111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F3" w:rsidRDefault="004E18F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3" w:rsidRDefault="004E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</w:t>
            </w:r>
          </w:p>
          <w:p w:rsidR="004E18F3" w:rsidRDefault="004E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 при недоразвитии</w:t>
            </w:r>
          </w:p>
          <w:p w:rsidR="004E18F3" w:rsidRDefault="004E18F3">
            <w:pPr>
              <w:keepNext/>
              <w:keepLines/>
              <w:rPr>
                <w:sz w:val="18"/>
                <w:szCs w:val="22"/>
              </w:rPr>
            </w:pPr>
            <w:r>
              <w:rPr>
                <w:sz w:val="18"/>
              </w:rPr>
              <w:t xml:space="preserve">Страна происхождения  </w:t>
            </w:r>
            <w:r>
              <w:rPr>
                <w:sz w:val="18"/>
                <w:szCs w:val="18"/>
              </w:rPr>
              <w:t>&lt;*&gt;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недоразвитии.  Приёмная гильза изготовлена по индивидуальному слепку с культи инвалида. Материал приемной гильзы - слоистый пластик. Материал примерочной гильзы – термопластик.  Количество примерочных гильз - не менее одной. Косметическая индивидуальная оболочка. Материал косметической оболочки – полиуретан. Чулки перлоновые ортопедические. Вкладыш в гильзу из вспененных материалов с безаллергенными свойствами материала.  Допускается применение эластичных термопластов по назначению врача-ортопеда. Крепление протеза за счет формы приемной гильзы с использованием наколенника. Регулировочно-соединительные устройства  должны соответствовать  весу пациента.  Стопа с высоким уровнем энергосбережения, адаптированная как для повседневного использования, так и для занятий  спортивными упражнениями, подходит для различной скорости ходьбы, без ухудшения комфортности снижая нагрузку на  здоровую конечность.   Стопа обеспечивает физиологичный перекат и подталкивающий эффект  при переходе на носок  стопы, благодаря передаче накопленной энергии. Тип протеза по назначению постоянный. Масса протеза: 1,6; 1,7; 1,8; 1,9; 2,0; 2,1; 2,2; 2,3; 2,4; 2,5; 2,6; </w:t>
            </w:r>
            <w:smartTag w:uri="urn:schemas-microsoft-com:office:smarttags" w:element="metricconverter">
              <w:smartTagPr>
                <w:attr w:name="ProductID" w:val="2,7 кг"/>
              </w:smartTagPr>
              <w:r>
                <w:rPr>
                  <w:sz w:val="20"/>
                  <w:szCs w:val="20"/>
                </w:rPr>
                <w:t>2,7 кг</w:t>
              </w:r>
            </w:smartTag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недоразвитии.  Приёмная гильза изготовлена по индивидуальному слепку с культи инвалида. Материал приемной гильзы - &lt;    &gt;. Материал примерочной гильзы – &lt;     &gt;.  Количество примерочных гильз - не менее &lt;   &gt;. Косметическая индивидуальная оболочка. Материал косметической оболочки – &lt;     &gt; Чулки &lt;   &gt;  ортопедические. Вкладыш в гильзу из &lt;    &gt;с безаллергенными свойствами материала.  Допускается применение эластичных термопластов по назначению врача-ортопеда. Крепление протеза за счет формы приемной гильзы с использованием наколенника. Регулировочно-соединительные устройства  должны соответствовать  весу пациента.  Стопа с высоким уровнем энергосбережения, адаптированная как для повседневного использования, так и для занятий  спортивными упражнениями, подходит для различной скорости ходьбы, без ухудшения комфортности снижая нагрузку на  здоровую конечность.   Стопа обеспечивает физиологичный перекат и подталкивающий эффект  при переходе на носок  стопы, благодаря передаче накопленной энергии. Тип протеза по назначению постоянный. Масса протеза: </w:t>
            </w:r>
            <w:r>
              <w:rPr>
                <w:sz w:val="20"/>
                <w:szCs w:val="20"/>
                <w:lang w:val="en-US"/>
              </w:rPr>
              <w:t>&lt;     &gt;</w:t>
            </w:r>
            <w:r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F3" w:rsidRDefault="004E18F3">
            <w:pPr>
              <w:keepNext/>
              <w:keepLine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</w:tr>
      <w:tr w:rsidR="004E18F3" w:rsidTr="004E18F3">
        <w:trPr>
          <w:trHeight w:val="111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F3" w:rsidRDefault="004E18F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3" w:rsidRDefault="004E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</w:t>
            </w:r>
          </w:p>
          <w:p w:rsidR="004E18F3" w:rsidRDefault="004E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 при недоразвитии</w:t>
            </w:r>
          </w:p>
          <w:p w:rsidR="004E18F3" w:rsidRDefault="004E18F3">
            <w:pPr>
              <w:keepNext/>
              <w:keepLines/>
              <w:rPr>
                <w:sz w:val="18"/>
                <w:szCs w:val="22"/>
              </w:rPr>
            </w:pPr>
            <w:r>
              <w:rPr>
                <w:sz w:val="18"/>
              </w:rPr>
              <w:t xml:space="preserve">Страна </w:t>
            </w:r>
            <w:r>
              <w:rPr>
                <w:sz w:val="18"/>
              </w:rPr>
              <w:lastRenderedPageBreak/>
              <w:t xml:space="preserve">происхождения  </w:t>
            </w:r>
            <w:r>
              <w:rPr>
                <w:sz w:val="18"/>
                <w:szCs w:val="18"/>
              </w:rPr>
              <w:t>&lt;*&gt;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Протез голени модульный, в том числе при недоразвитии.  Приёмная гильза изготовлена по индивидуальному слепку с культи инвалида. Материал </w:t>
            </w:r>
            <w:r>
              <w:rPr>
                <w:sz w:val="20"/>
                <w:szCs w:val="20"/>
              </w:rPr>
              <w:lastRenderedPageBreak/>
              <w:t xml:space="preserve">приемной гильзы - слоистый пластик или аналог, с безаллергенными свойствами материала. Материал примерочной гильзы - термопластик или аналог, с безаллергенными свойствами материала. Количество примерочных гильз - не менее одной. Косметическая индивидуальная оболочка. Материал косметической оболочки - полиуретан или пенополиэтилен или аналог, с безаллергенными свойствами материала по назначению врача-ортопеда. Чулки должны быть перлоновые ортопедические или аналог. Вкладыш в гильзу из вспененных материалов с безаллергенными свойствами. Крепление протеза  за счёт формы приемной гильзы и наколенника или кожаными полуфабрикатами или за счёт кожаной гильзы на бедро по назначению врача-ортопеда. регулировочно-соединительные устройства  должны соответствовать  весу пациента. Стопа  с голеностопным шарниром  не менее 1 уровня и не более 2 уровня двигательной активности по назначению врача-ортопеда. Тип протеза по назначению постоянный. </w:t>
            </w:r>
          </w:p>
          <w:p w:rsidR="004E18F3" w:rsidRDefault="004E18F3">
            <w:pPr>
              <w:keepNext/>
              <w:keepLines/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Масса протеза: 1,6; 1,7; 1,8; 1,9; 2,0; 2,1; 2,2; 2,3; 2,4; 2,5; 2,6; </w:t>
            </w:r>
            <w:smartTag w:uri="urn:schemas-microsoft-com:office:smarttags" w:element="metricconverter">
              <w:smartTagPr>
                <w:attr w:name="ProductID" w:val="2,7 кг"/>
              </w:smartTagPr>
              <w:r>
                <w:rPr>
                  <w:sz w:val="20"/>
                  <w:szCs w:val="20"/>
                </w:rPr>
                <w:t>2,7 кг</w:t>
              </w:r>
            </w:smartTag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Протез голени модульный, в том числе при недоразвитии.  Приёмная гильза изготовлена по индивидуальному слепку с культи инвалида. Материал </w:t>
            </w:r>
            <w:r>
              <w:rPr>
                <w:sz w:val="20"/>
                <w:szCs w:val="20"/>
              </w:rPr>
              <w:lastRenderedPageBreak/>
              <w:t xml:space="preserve">приемной гильзы &lt;    &gt; или аналог, с безаллергенными свойствами материала. Материал примерочной гильзы - &lt;    &gt; или аналог, с безаллергенными свойствами материала. Количество примерочных гильз - не менее </w:t>
            </w:r>
            <w:r>
              <w:rPr>
                <w:sz w:val="20"/>
                <w:szCs w:val="20"/>
                <w:lang w:val="en-US"/>
              </w:rPr>
              <w:t>&lt;    &gt;</w:t>
            </w:r>
            <w:r>
              <w:rPr>
                <w:sz w:val="20"/>
                <w:szCs w:val="20"/>
              </w:rPr>
              <w:t xml:space="preserve">. Косметическая индивидуальная оболочка. Материал косметической оболочки - &lt;    &gt;  или аналог, с безаллергенными свойствами материала по назначению врача-ортопеда. Чулки должны быть </w:t>
            </w:r>
            <w:r w:rsidRPr="004E18F3">
              <w:rPr>
                <w:sz w:val="20"/>
                <w:szCs w:val="20"/>
              </w:rPr>
              <w:t xml:space="preserve">&lt;  &gt; </w:t>
            </w:r>
            <w:r>
              <w:rPr>
                <w:sz w:val="20"/>
                <w:szCs w:val="20"/>
              </w:rPr>
              <w:t xml:space="preserve"> или аналог. Вкладыш в гильзу из вспененных материалов с безаллергенными свойствами. Крепление протеза  за счёт формы приемной гильзы и наколенника или кожаными полуфабрикатами или за счёт кожаной гильзы на бедро по назначению врача-ортопеда. регулировочно-соединительные устройства  должны соответствовать  весу пациента. Стопа  с голеностопным шарниром  не менее 1 уровня и не более 2 уровня двигательной активности по назначению врача-ортопеда. Тип протеза по назначению постоянный. </w:t>
            </w:r>
          </w:p>
          <w:p w:rsidR="004E18F3" w:rsidRDefault="004E18F3">
            <w:pPr>
              <w:keepNext/>
              <w:keepLines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 протеза: </w:t>
            </w:r>
            <w:r>
              <w:rPr>
                <w:sz w:val="20"/>
                <w:szCs w:val="20"/>
                <w:lang w:val="en-US"/>
              </w:rPr>
              <w:t xml:space="preserve">&lt;   &gt; </w:t>
            </w:r>
            <w:r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F3" w:rsidRDefault="004E18F3">
            <w:pPr>
              <w:keepNext/>
              <w:keepLine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keepNext/>
              <w:keepLines/>
              <w:jc w:val="center"/>
            </w:pPr>
            <w:r>
              <w:rPr>
                <w:sz w:val="18"/>
                <w:szCs w:val="18"/>
              </w:rPr>
              <w:t>шт</w:t>
            </w:r>
          </w:p>
        </w:tc>
      </w:tr>
      <w:tr w:rsidR="004E18F3" w:rsidTr="004E18F3">
        <w:trPr>
          <w:trHeight w:val="111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F3" w:rsidRDefault="004E18F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модульный, в том</w:t>
            </w:r>
          </w:p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 при врожденном</w:t>
            </w:r>
          </w:p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недоразвитии</w:t>
            </w:r>
          </w:p>
          <w:p w:rsidR="004E18F3" w:rsidRDefault="004E18F3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  &lt;*&gt;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модульный, в том числе при врожденном недоразвитии.  Приёмная гильза изготовлена по индивидуальному слепку с культи инвалида. Материал приемной гильзы - литьевой слоистый пластик на основе акриловых смол.  Материал примерочной гильзы - термопластик. Количество примерочных гильз не менее одной . Косметическая индивидуальная оболочка. Материал косметической оболочки - полиуретан или аналог, с безаллергенными </w:t>
            </w:r>
            <w:r>
              <w:rPr>
                <w:sz w:val="20"/>
                <w:szCs w:val="20"/>
              </w:rPr>
              <w:lastRenderedPageBreak/>
              <w:t xml:space="preserve">свойствами материала. Чулки силоновые ортопедические. Без вкладыша в гильзу. Крепление протеза – поясное с использованием кожаных полуфабрикатов или вакуумное с использованием бандажа по назначению врача-ортопеда. Регулировочно-соединительные устройства должны соответствовать весу инвалида. Стопа не менее 1 уровня и не более 2 уровня двигательной активности по назначению врача-ортопеда. Коленный шарнир – полицентрический с «геометрическим замком» с зависимым механическим регулированием фаз сгибания-разгибания или одноосный с голенооткидным устройством или с механизмом торможения  не менее 1 уровня и не более 2 уровня двигательной активности по назначению врача-ортопеда. Без поворотного устройства. Тип протеза по назначению постоянный. </w:t>
            </w:r>
          </w:p>
          <w:p w:rsidR="004E18F3" w:rsidRDefault="004E18F3">
            <w:pPr>
              <w:keepNext/>
              <w:keepLines/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Масса протеза - 2,7; 2,8; 2,9; 3,0; 3,1; 3,2; 3,3; 3,4; 3,5; 3,6; 3,7; 3,8; 3,9; 4,0; 4,1; 4,2; 4,3; 4,4; </w:t>
            </w:r>
            <w:smartTag w:uri="urn:schemas-microsoft-com:office:smarttags" w:element="metricconverter">
              <w:smartTagPr>
                <w:attr w:name="ProductID" w:val="4,5 кг"/>
              </w:smartTagPr>
              <w:r>
                <w:rPr>
                  <w:sz w:val="20"/>
                  <w:szCs w:val="20"/>
                </w:rPr>
                <w:t>4,5 кг</w:t>
              </w:r>
            </w:smartTag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Протез бедра модульный, в том числе при врожденном недоразвитии.  Приёмная гильза изготовлена по индивидуальному слепку с культи инвалида. Материал приемной гильзы - &lt;    &gt; на основе акриловых смол.  Материал примерочной гильзы - &lt;  &gt; . Количество примерочных гильз не менее &lt;  &gt; Косметическая индивидуальная оболочка. Материал косметической оболочки - &lt;   &gt; или аналог, с безаллергенными свойствами материала. Чулки &lt;   &gt;  </w:t>
            </w:r>
            <w:r>
              <w:rPr>
                <w:sz w:val="20"/>
                <w:szCs w:val="20"/>
              </w:rPr>
              <w:lastRenderedPageBreak/>
              <w:t xml:space="preserve">ортопедические. Без вкладыша в гильзу. Крепление протеза – поясное с использованием кожаных полуфабрикатов или вакуумное с использованием бандажа по назначению врача-ортопеда. Регулировочно-соединительные устройства должны соответствовать весу инвалида. Стопа не менее 1 уровня и не более 2 уровня двигательной активности по назначению врача-ортопеда. Коленный шарнир – полицентрический с «геометрическим замком» с зависимым механическим регулированием фаз сгибания-разгибания или одноосный с голенооткидным устройством или с механизмом торможения  не менее 1 уровня и не более 2 уровня двигательной активности по назначению врача-ортопеда. Без поворотного устройства. Тип протеза по назначению постоянный. </w:t>
            </w:r>
          </w:p>
          <w:p w:rsidR="004E18F3" w:rsidRDefault="004E18F3">
            <w:pPr>
              <w:keepNext/>
              <w:keepLines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 протеза - &lt;  &gt;  кг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F3" w:rsidRDefault="004E18F3">
            <w:pPr>
              <w:keepNext/>
              <w:keepLine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keepNext/>
              <w:keepLines/>
              <w:jc w:val="center"/>
            </w:pPr>
            <w:r>
              <w:rPr>
                <w:sz w:val="18"/>
                <w:szCs w:val="18"/>
              </w:rPr>
              <w:t>шт</w:t>
            </w:r>
          </w:p>
        </w:tc>
      </w:tr>
      <w:tr w:rsidR="004E18F3" w:rsidTr="004E18F3">
        <w:trPr>
          <w:trHeight w:val="111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F3" w:rsidRDefault="004E18F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для купания</w:t>
            </w:r>
          </w:p>
          <w:p w:rsidR="004E18F3" w:rsidRDefault="004E18F3">
            <w:pPr>
              <w:rPr>
                <w:sz w:val="20"/>
                <w:szCs w:val="20"/>
              </w:rPr>
            </w:pPr>
          </w:p>
          <w:p w:rsidR="004E18F3" w:rsidRDefault="004E18F3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  &lt;*&gt;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для купания,  модульный  из влагостойких комплектующих.</w:t>
            </w:r>
          </w:p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Приёмная гильза изготовлена по индивидуальному слепку с культи инвалида. Материал приемной гильзы - слоистый пластик, аналог, с безаллергенными свойствами материала по назначению врача-ортопеда. Материал примерочной гильзы – термопластик или  аналог, с безаллергенными свойствами материала по назначению врача-ортопеда. Количество примерочных гильз не менее одной. Без косметической оболочки. </w:t>
            </w:r>
          </w:p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применение вкладных гильз из вспененных материалов. Крепление протеза за счет формы приемной гильзы, без использования дополнительных элементов, вакуумное с использованием бандажа.</w:t>
            </w:r>
          </w:p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Регулировочно-соединительные устройства водостойкие, соответствуют весу инвалида. Стопа водостойкая полиуретановая, монолитная, с защитой от проскальзывания на подошвенной части. Коленный шарнир моноцентрический, замковый, облегченный, влагостойкий. Без поворотного устройства. Тип протеза по назначению специальный.</w:t>
            </w:r>
          </w:p>
          <w:p w:rsidR="004E18F3" w:rsidRDefault="004E18F3">
            <w:pPr>
              <w:keepNext/>
              <w:keepLines/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Масса протеза - 2,7; 2,8; 2,9; 3,0; 3,1; 3,2; 3,3; 3,4; 3,5; 3,6; 3,7; 3,8; 3,9; 4,0; 4,1; 4,2; 4,3; 4,4; </w:t>
            </w:r>
            <w:smartTag w:uri="urn:schemas-microsoft-com:office:smarttags" w:element="metricconverter">
              <w:smartTagPr>
                <w:attr w:name="ProductID" w:val="4,5 кг"/>
              </w:smartTagPr>
              <w:r>
                <w:rPr>
                  <w:sz w:val="20"/>
                  <w:szCs w:val="20"/>
                </w:rPr>
                <w:t>4,5 кг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для купания,  модульный  из влагостойких комплектующих.</w:t>
            </w:r>
          </w:p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Приёмная гильза изготовлена по индивидуальному слепку с культи инвалида. Материал приемной гильзы - &lt;  &gt; , аналог, с безаллергенными свойствами материала по назначению врача-ортопеда. Материал примерочной гильзы – &lt;  &gt; или  аналог, с безаллергенными свойствами материала по назначению врача-ортопеда. Количество примерочных гильз не менее </w:t>
            </w:r>
            <w:r w:rsidRPr="004E18F3">
              <w:rPr>
                <w:sz w:val="20"/>
                <w:szCs w:val="20"/>
              </w:rPr>
              <w:t>&lt;   &gt;</w:t>
            </w:r>
            <w:r>
              <w:rPr>
                <w:sz w:val="20"/>
                <w:szCs w:val="20"/>
              </w:rPr>
              <w:t xml:space="preserve">. Без косметической оболочки. </w:t>
            </w:r>
          </w:p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применение вкладных гильз из вспененных материалов. Крепление протеза за счет формы приемной гильзы, без использования дополнительных элементов, вакуумное с использованием бандажа.</w:t>
            </w:r>
          </w:p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Регулировочно-соединительные устройства водостойкие, соответствуют весу инвалида. Стопа водостойкая полиуретановая, монолитная, с защитой от проскальзывания на подошвенной части. Коленный шарнир моноцентрический, замковый, облегченный, влагостойкий. Без поворотного устройства. Тип протеза по назначению специальный.</w:t>
            </w:r>
          </w:p>
          <w:p w:rsidR="004E18F3" w:rsidRDefault="004E18F3">
            <w:pPr>
              <w:keepNext/>
              <w:keepLines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 протеза - </w:t>
            </w:r>
            <w:r>
              <w:rPr>
                <w:sz w:val="20"/>
                <w:szCs w:val="20"/>
                <w:lang w:val="en-US"/>
              </w:rPr>
              <w:t xml:space="preserve">&lt;  &gt; </w:t>
            </w:r>
            <w:r>
              <w:rPr>
                <w:sz w:val="20"/>
                <w:szCs w:val="20"/>
              </w:rPr>
              <w:t xml:space="preserve"> кг.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F3" w:rsidRDefault="004E18F3">
            <w:pPr>
              <w:keepNext/>
              <w:keepLine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keepNext/>
              <w:keepLines/>
              <w:jc w:val="center"/>
            </w:pPr>
            <w:r>
              <w:rPr>
                <w:sz w:val="18"/>
                <w:szCs w:val="18"/>
              </w:rPr>
              <w:t>шт</w:t>
            </w:r>
          </w:p>
        </w:tc>
      </w:tr>
      <w:tr w:rsidR="004E18F3" w:rsidTr="004E18F3">
        <w:trPr>
          <w:trHeight w:val="111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F3" w:rsidRDefault="004E18F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для купания</w:t>
            </w:r>
          </w:p>
          <w:p w:rsidR="004E18F3" w:rsidRDefault="004E18F3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  &lt;*&gt;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для купания.  Приёмная гильза изготовлена по индивидуальному слепку с культи инвалида. Материал приемной гильзы - слоистый пластик, аналог, с безаллергенными свойствами материала по назначению врача-</w:t>
            </w:r>
            <w:r>
              <w:rPr>
                <w:sz w:val="20"/>
                <w:szCs w:val="20"/>
              </w:rPr>
              <w:lastRenderedPageBreak/>
              <w:t xml:space="preserve">ортопеда. Материал примерочной гильзы - термопластик, аналог, с безаллергенными свойствами материала по назначению врача-ортопеда. Количество примерочных гильз не менее одной.Жёсткая косметическая индивидуальная оболочка с отверстиями для вытекания воды , без оболочки по назначению врача-ортопеда. Материал жёсткой косметической слоистый пластик или аналог, с безаллергенными свойствами материала по назначению врача-ортопеда. Без чулок ортопедических. В качестве вкладного элемента используются чехлы полимерные: с дистальными, без дистального соединения, вкладная гильза из вспененных материалов с безаллергенными свойствами по назначению врача-ортопеда. </w:t>
            </w:r>
          </w:p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Крепление протеза: замковое,  вакуумное с использованием коленного бандажа, за счет формы приемной гильзы, без использования дополнительных элементов по назначению врача-ортопеда. Регулировочно-соединительные устройства водостойкие, соответствуют весу инвалида. Стопа водостойкая полиуретановая, монолитная, с защитой от проскальзывания на подошвенной части. Тип протеза по назначению: специальный. </w:t>
            </w:r>
          </w:p>
          <w:p w:rsidR="004E18F3" w:rsidRDefault="004E18F3">
            <w:pPr>
              <w:keepNext/>
              <w:keepLines/>
              <w:widowControl w:val="0"/>
              <w:suppressAutoHyphens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Масса протеза - 1,6; 1,7; 1,8; 1,9; 2,0; 2,1; 2,2; 2,3; 2,4; 2,5; 2,6; </w:t>
            </w:r>
            <w:smartTag w:uri="urn:schemas-microsoft-com:office:smarttags" w:element="metricconverter">
              <w:smartTagPr>
                <w:attr w:name="ProductID" w:val="2,7 кг"/>
              </w:smartTagPr>
              <w:r>
                <w:rPr>
                  <w:sz w:val="20"/>
                  <w:szCs w:val="20"/>
                </w:rPr>
                <w:t>2,7 кг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Протез голени для купания.  Приёмная гильза изготовлена по индивидуальному слепку с культи инвалида. Материал приемной гильзы - &lt;   &gt; , аналог, с безаллергенными свойствами материала по назначению врача-ортопеда. Материал </w:t>
            </w:r>
            <w:r>
              <w:rPr>
                <w:sz w:val="20"/>
                <w:szCs w:val="20"/>
              </w:rPr>
              <w:lastRenderedPageBreak/>
              <w:t xml:space="preserve">примерочной гильзы - &lt;  &gt; , аналог, с безаллергенными свойствами материала по назначению врача-ортопеда. Количество примерочных гильз не менее &lt;  &gt;/ .Жёсткая косметическая индивидуальная оболочка с отверстиями для вытекания воды , без оболочки по назначению врача-ортопеда. Материал жёсткой косметической &lt;    &gt;  или аналог, с безаллергенными свойствами материала по назначению врача-ортопеда. Без чулок ортопедических. В качестве вкладного элемента используются чехлы полимерные: с дистальными, без дистального соединения, вкладная гильза из вспененных материалов с безаллергенными свойствами по назначению врача-ортопеда. </w:t>
            </w:r>
          </w:p>
          <w:p w:rsidR="004E18F3" w:rsidRDefault="004E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Крепление протеза: замковое,  вакуумное с использованием коленного бандажа, за счет формы приемной гильзы, без использования дополнительных элементов по назначению врача-ортопеда. Регулировочно-соединительные устройства водостойкие, соответствуют весу инвалида. Стопа водостойкая полиуретановая, монолитная, с защитой от проскальзывания на подошвенной части. Тип протеза по назначению: специальный. </w:t>
            </w:r>
          </w:p>
          <w:p w:rsidR="004E18F3" w:rsidRDefault="004E18F3">
            <w:pPr>
              <w:keepNext/>
              <w:keepLines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 протеза - </w:t>
            </w:r>
            <w:r>
              <w:rPr>
                <w:sz w:val="20"/>
                <w:szCs w:val="20"/>
                <w:lang w:val="en-US"/>
              </w:rPr>
              <w:t xml:space="preserve">&lt;   &gt; </w:t>
            </w:r>
            <w:r>
              <w:rPr>
                <w:sz w:val="20"/>
                <w:szCs w:val="20"/>
              </w:rPr>
              <w:t xml:space="preserve"> кг.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F3" w:rsidRDefault="004E18F3">
            <w:pPr>
              <w:keepNext/>
              <w:keepLine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keepNext/>
              <w:keepLines/>
              <w:jc w:val="center"/>
            </w:pPr>
            <w:r>
              <w:rPr>
                <w:sz w:val="18"/>
                <w:szCs w:val="18"/>
              </w:rPr>
              <w:t>шт</w:t>
            </w:r>
          </w:p>
        </w:tc>
      </w:tr>
      <w:tr w:rsidR="004E18F3" w:rsidTr="004E18F3">
        <w:trPr>
          <w:cantSplit/>
          <w:trHeight w:val="385"/>
          <w:jc w:val="center"/>
        </w:trPr>
        <w:tc>
          <w:tcPr>
            <w:tcW w:w="4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8F3" w:rsidRDefault="004E18F3">
            <w:pPr>
              <w:pStyle w:val="ac"/>
              <w:keepNext/>
              <w:keepLines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lastRenderedPageBreak/>
              <w:t>ИТОГО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F3" w:rsidRDefault="004E18F3">
            <w:pPr>
              <w:keepNext/>
              <w:keepLine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F3" w:rsidRDefault="004E18F3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F3" w:rsidRDefault="004E18F3">
            <w:pPr>
              <w:keepNext/>
              <w:keepLines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E18F3" w:rsidRDefault="004E18F3" w:rsidP="004E18F3">
      <w:pPr>
        <w:keepNext/>
        <w:keepLines/>
        <w:autoSpaceDE w:val="0"/>
        <w:autoSpaceDN w:val="0"/>
        <w:adjustRightInd w:val="0"/>
        <w:rPr>
          <w:color w:val="0000FF"/>
        </w:rPr>
      </w:pPr>
    </w:p>
    <w:p w:rsidR="004E18F3" w:rsidRDefault="004E18F3" w:rsidP="004E18F3">
      <w:pPr>
        <w:keepNext/>
        <w:keepLines/>
        <w:rPr>
          <w:b/>
        </w:rPr>
      </w:pPr>
      <w:r>
        <w:rPr>
          <w:b/>
        </w:rPr>
        <w:t>Примечание:</w:t>
      </w:r>
      <w:r>
        <w:t xml:space="preserve"> &lt;*&gt; </w:t>
      </w:r>
      <w:r>
        <w:rPr>
          <w:b/>
        </w:rPr>
        <w:t>Заполняется участником аукциона</w:t>
      </w:r>
    </w:p>
    <w:p w:rsidR="004E18F3" w:rsidRDefault="004E18F3" w:rsidP="004E18F3">
      <w:pPr>
        <w:keepNext/>
        <w:keepLines/>
        <w:rPr>
          <w:b/>
          <w:sz w:val="22"/>
          <w:u w:val="single"/>
        </w:rPr>
      </w:pPr>
    </w:p>
    <w:p w:rsidR="004E18F3" w:rsidRDefault="004E18F3" w:rsidP="004E18F3">
      <w:pPr>
        <w:keepNext/>
        <w:keepLines/>
        <w:jc w:val="center"/>
        <w:rPr>
          <w:b/>
          <w:sz w:val="22"/>
          <w:u w:val="single"/>
          <w:lang w:val="en-US"/>
        </w:rPr>
      </w:pPr>
    </w:p>
    <w:p w:rsidR="004E18F3" w:rsidRDefault="004E18F3" w:rsidP="004E18F3">
      <w:pPr>
        <w:keepNext/>
        <w:keepLines/>
        <w:jc w:val="center"/>
        <w:rPr>
          <w:b/>
          <w:sz w:val="22"/>
          <w:u w:val="single"/>
          <w:lang w:val="en-US"/>
        </w:rPr>
      </w:pPr>
    </w:p>
    <w:p w:rsidR="004E18F3" w:rsidRDefault="004E18F3" w:rsidP="004E18F3">
      <w:pPr>
        <w:keepNext/>
        <w:keepLines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Требования к функциональным характеристикам</w:t>
      </w:r>
    </w:p>
    <w:p w:rsidR="004E18F3" w:rsidRDefault="004E18F3" w:rsidP="004E18F3">
      <w:pPr>
        <w:pStyle w:val="explanatorynotes"/>
        <w:keepNext/>
        <w:keepLines/>
        <w:suppressAutoHyphens w:val="0"/>
        <w:spacing w:after="0" w:line="240" w:lineRule="auto"/>
        <w:ind w:firstLine="709"/>
        <w:rPr>
          <w:b/>
          <w:u w:val="single"/>
          <w:lang w:val="ru-RU"/>
        </w:rPr>
      </w:pPr>
      <w:r>
        <w:rPr>
          <w:rFonts w:ascii="Times New Roman" w:hAnsi="Times New Roman" w:cs="Times New Roman"/>
          <w:szCs w:val="18"/>
          <w:lang w:val="ru-RU" w:eastAsia="ru-RU"/>
        </w:rPr>
        <w:t xml:space="preserve"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</w:t>
      </w:r>
      <w:r>
        <w:rPr>
          <w:rFonts w:ascii="Times New Roman" w:hAnsi="Times New Roman" w:cs="Times New Roman"/>
          <w:lang w:val="ru-RU"/>
        </w:rPr>
        <w:t>анатомических дефектов и деформаций.</w:t>
      </w:r>
      <w:r>
        <w:rPr>
          <w:lang w:val="ru-RU"/>
        </w:rPr>
        <w:t xml:space="preserve"> </w:t>
      </w:r>
      <w:r>
        <w:rPr>
          <w:b/>
          <w:u w:val="single"/>
          <w:lang w:val="ru-RU"/>
        </w:rPr>
        <w:t xml:space="preserve">   </w:t>
      </w:r>
    </w:p>
    <w:p w:rsidR="004E18F3" w:rsidRDefault="004E18F3" w:rsidP="004E18F3">
      <w:pPr>
        <w:keepNext/>
        <w:keepLines/>
        <w:ind w:left="-180" w:firstLine="180"/>
        <w:jc w:val="center"/>
        <w:rPr>
          <w:b/>
          <w:sz w:val="22"/>
          <w:u w:val="single"/>
        </w:rPr>
      </w:pPr>
    </w:p>
    <w:p w:rsidR="004E18F3" w:rsidRDefault="004E18F3" w:rsidP="004E18F3">
      <w:pPr>
        <w:keepNext/>
        <w:keepLines/>
        <w:ind w:left="-180" w:firstLine="180"/>
        <w:jc w:val="center"/>
        <w:rPr>
          <w:b/>
          <w:sz w:val="22"/>
          <w:u w:val="single"/>
        </w:rPr>
      </w:pPr>
    </w:p>
    <w:p w:rsidR="004E18F3" w:rsidRDefault="004E18F3" w:rsidP="004E18F3">
      <w:pPr>
        <w:keepNext/>
        <w:keepLines/>
        <w:ind w:left="-180" w:firstLine="18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Требования к качественным характеристикам</w:t>
      </w:r>
    </w:p>
    <w:p w:rsidR="004E18F3" w:rsidRDefault="004E18F3" w:rsidP="004E18F3">
      <w:pPr>
        <w:pStyle w:val="explanatorynotes"/>
        <w:keepNext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szCs w:val="18"/>
          <w:lang w:val="ru-RU" w:eastAsia="ru-RU"/>
        </w:rPr>
      </w:pPr>
      <w:r>
        <w:rPr>
          <w:rFonts w:ascii="Times New Roman" w:hAnsi="Times New Roman" w:cs="Times New Roman"/>
          <w:szCs w:val="18"/>
          <w:lang w:val="ru-RU" w:eastAsia="ru-RU"/>
        </w:rPr>
        <w:t>Работы по обеспечению протезами соответствуют следующим    государственным    стандартам    (ГОСТ), действующим    на территории Российской Федерации:</w:t>
      </w:r>
    </w:p>
    <w:p w:rsidR="004E18F3" w:rsidRDefault="004E18F3" w:rsidP="004E18F3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>
        <w:rPr>
          <w:rFonts w:ascii="Times New Roman" w:hAnsi="Times New Roman" w:cs="Times New Roman"/>
          <w:szCs w:val="18"/>
          <w:lang w:val="ru-RU" w:eastAsia="ru-RU"/>
        </w:rPr>
        <w:t>ГОСТ ISO 10993-1-2011 Изделия медицинские.</w:t>
      </w:r>
    </w:p>
    <w:p w:rsidR="004E18F3" w:rsidRDefault="004E18F3" w:rsidP="004E18F3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>
        <w:rPr>
          <w:rFonts w:ascii="Times New Roman" w:hAnsi="Times New Roman" w:cs="Times New Roman"/>
          <w:szCs w:val="18"/>
          <w:lang w:val="ru-RU" w:eastAsia="ru-RU"/>
        </w:rPr>
        <w:t>ГОСТ ISO 10993-5-2011 Изделия медицинские. Оценка биологического действия медицинских изделий.</w:t>
      </w:r>
    </w:p>
    <w:p w:rsidR="004E18F3" w:rsidRDefault="004E18F3" w:rsidP="004E18F3">
      <w:pPr>
        <w:keepNext/>
        <w:keepLines/>
        <w:jc w:val="both"/>
        <w:rPr>
          <w:spacing w:val="1"/>
        </w:rPr>
      </w:pPr>
      <w:r>
        <w:rPr>
          <w:spacing w:val="1"/>
        </w:rPr>
        <w:t xml:space="preserve">Часть 5. Исследования на цитотоксичность: методы in vitro», </w:t>
      </w:r>
    </w:p>
    <w:p w:rsidR="004E18F3" w:rsidRDefault="004E18F3" w:rsidP="004E18F3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>
        <w:rPr>
          <w:rFonts w:ascii="Times New Roman" w:hAnsi="Times New Roman" w:cs="Times New Roman"/>
          <w:szCs w:val="18"/>
          <w:lang w:val="ru-RU" w:eastAsia="ru-RU"/>
        </w:rPr>
        <w:t>ГОСТ ISO 10993-10-2011 Изделия медицинские. Оценка биологического действия медицинских изделий.</w:t>
      </w:r>
    </w:p>
    <w:p w:rsidR="004E18F3" w:rsidRDefault="004E18F3" w:rsidP="004E18F3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>
        <w:rPr>
          <w:rFonts w:ascii="Times New Roman" w:hAnsi="Times New Roman" w:cs="Times New Roman"/>
          <w:szCs w:val="18"/>
          <w:lang w:val="ru-RU" w:eastAsia="ru-RU"/>
        </w:rPr>
        <w:t>ГОСТ Р 52770-2016 Изделия медицинские. Требования безопасности. Методы санитарно-химических и токсикологических испытаний.</w:t>
      </w:r>
    </w:p>
    <w:p w:rsidR="004E18F3" w:rsidRDefault="004E18F3" w:rsidP="004E18F3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>
        <w:rPr>
          <w:rFonts w:ascii="Times New Roman" w:hAnsi="Times New Roman" w:cs="Times New Roman"/>
          <w:szCs w:val="18"/>
          <w:lang w:val="ru-RU" w:eastAsia="ru-RU"/>
        </w:rPr>
        <w:t>ГОСТ   Р    51632-2014    «Технические   средства   реабилитации   людей   с   ограничениями жизнедеятельности. Общие технические требования и методы испытаний».</w:t>
      </w:r>
    </w:p>
    <w:p w:rsidR="004E18F3" w:rsidRDefault="004E18F3" w:rsidP="004E18F3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>
        <w:rPr>
          <w:rFonts w:ascii="Times New Roman" w:hAnsi="Times New Roman" w:cs="Times New Roman"/>
          <w:szCs w:val="18"/>
          <w:lang w:val="ru-RU" w:eastAsia="ru-RU"/>
        </w:rPr>
        <w:t>ГОСТ Р ИСО 22523-2007 Протезы конечностей и ортезы наружные. Требования и методы испытаний.</w:t>
      </w:r>
    </w:p>
    <w:p w:rsidR="004E18F3" w:rsidRDefault="004E18F3" w:rsidP="004E18F3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>
        <w:rPr>
          <w:rFonts w:ascii="Times New Roman" w:hAnsi="Times New Roman" w:cs="Times New Roman"/>
          <w:szCs w:val="18"/>
          <w:lang w:val="ru-RU" w:eastAsia="ru-RU"/>
        </w:rPr>
        <w:t>ГОСТ Р 53869-2010. Протезы нижних конечностей. Технические требования</w:t>
      </w:r>
    </w:p>
    <w:p w:rsidR="004E18F3" w:rsidRDefault="004E18F3" w:rsidP="004E18F3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>
        <w:rPr>
          <w:rFonts w:ascii="Times New Roman" w:hAnsi="Times New Roman" w:cs="Times New Roman"/>
          <w:szCs w:val="18"/>
          <w:lang w:val="ru-RU" w:eastAsia="ru-RU"/>
        </w:rPr>
        <w:t>ГОСТ Р ИСО 9999-2014 "Вспомогательные средства для людей с ограничениями жизнедеятельности. Классификация и терминология".</w:t>
      </w:r>
    </w:p>
    <w:p w:rsidR="004E18F3" w:rsidRDefault="004E18F3" w:rsidP="004E18F3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>
        <w:rPr>
          <w:rFonts w:ascii="Times New Roman" w:hAnsi="Times New Roman" w:cs="Times New Roman"/>
          <w:szCs w:val="18"/>
          <w:lang w:val="ru-RU" w:eastAsia="ru-RU"/>
        </w:rPr>
        <w:t>ГОСТ Р 15.111-2015 Система разработки и постановки продукции на производство. Технические средства реабилитации инвалидов</w:t>
      </w:r>
    </w:p>
    <w:p w:rsidR="004E18F3" w:rsidRDefault="004E18F3" w:rsidP="004E18F3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>
        <w:rPr>
          <w:rFonts w:ascii="Times New Roman" w:hAnsi="Times New Roman" w:cs="Times New Roman"/>
          <w:szCs w:val="18"/>
          <w:lang w:val="ru-RU" w:eastAsia="ru-RU"/>
        </w:rPr>
        <w:t>ГОСТ Р 51819-2001 Протезирование и ортезирование верхних и нижних конечностей. Термины и определения.</w:t>
      </w:r>
    </w:p>
    <w:p w:rsidR="004E18F3" w:rsidRDefault="004E18F3" w:rsidP="004E18F3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>
        <w:rPr>
          <w:rFonts w:ascii="Times New Roman" w:hAnsi="Times New Roman" w:cs="Times New Roman"/>
          <w:szCs w:val="18"/>
          <w:lang w:val="ru-RU" w:eastAsia="ru-RU"/>
        </w:rPr>
        <w:t xml:space="preserve">   Изделия, на которые распространяется действие стандарта ГОСТ Р 51632-2014 сопровождаются   документом «Отчет по анализу рисков».</w:t>
      </w:r>
    </w:p>
    <w:p w:rsidR="004E18F3" w:rsidRDefault="004E18F3" w:rsidP="004E18F3">
      <w:pPr>
        <w:pStyle w:val="ConsPlusNormal0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документах, сопровождающих технические средства реабилитации, являющиеся медицинским изделием (инструкция для потребителя, сертификаты, декларации, протоколы технических испытаний или токсикологических исследований и т.д.) наименование данного изделия должно совпадать и соответствовать наименованию медицинского изделия в действующем регистрационном удостоверении.</w:t>
      </w:r>
    </w:p>
    <w:p w:rsidR="004E18F3" w:rsidRDefault="004E18F3" w:rsidP="004E18F3">
      <w:pPr>
        <w:keepNext/>
        <w:keepLines/>
        <w:jc w:val="both"/>
        <w:rPr>
          <w:b/>
          <w:sz w:val="22"/>
          <w:u w:val="single"/>
        </w:rPr>
      </w:pPr>
    </w:p>
    <w:p w:rsidR="004E18F3" w:rsidRDefault="004E18F3" w:rsidP="004E18F3">
      <w:pPr>
        <w:keepNext/>
        <w:keepLines/>
        <w:ind w:left="-180" w:firstLine="29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Требования к состоянию товара</w:t>
      </w:r>
    </w:p>
    <w:p w:rsidR="004E18F3" w:rsidRDefault="004E18F3" w:rsidP="004E18F3">
      <w:pPr>
        <w:keepNext/>
        <w:keepLines/>
        <w:ind w:firstLine="709"/>
        <w:rPr>
          <w:bCs/>
          <w:sz w:val="22"/>
        </w:rPr>
      </w:pPr>
      <w:r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</w:p>
    <w:p w:rsidR="004E18F3" w:rsidRDefault="004E18F3" w:rsidP="004E18F3">
      <w:pPr>
        <w:keepNext/>
        <w:keepLines/>
        <w:ind w:firstLine="709"/>
        <w:rPr>
          <w:bCs/>
          <w:sz w:val="22"/>
        </w:rPr>
      </w:pPr>
    </w:p>
    <w:p w:rsidR="004E18F3" w:rsidRDefault="004E18F3" w:rsidP="004E18F3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Требования к гарантийному сроку товара, работы, услуги</w:t>
      </w:r>
    </w:p>
    <w:p w:rsidR="004E18F3" w:rsidRDefault="004E18F3" w:rsidP="004E18F3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и (или) объем предоставления гарантий их качества</w:t>
      </w:r>
    </w:p>
    <w:p w:rsidR="004E18F3" w:rsidRDefault="004E18F3" w:rsidP="004E18F3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4E18F3" w:rsidRDefault="004E18F3" w:rsidP="004E18F3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Гарантийный срок эксплуатации 1 год со дня выдачи товара. </w:t>
      </w:r>
    </w:p>
    <w:p w:rsidR="004E18F3" w:rsidRDefault="004E18F3" w:rsidP="004E18F3">
      <w:pPr>
        <w:keepNext/>
        <w:keepLines/>
        <w:ind w:firstLine="709"/>
        <w:jc w:val="both"/>
        <w:rPr>
          <w:spacing w:val="-6"/>
        </w:rPr>
      </w:pPr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:rsidR="004E18F3" w:rsidRDefault="004E18F3" w:rsidP="004E18F3">
      <w:pPr>
        <w:keepNext/>
        <w:keepLines/>
        <w:ind w:firstLine="709"/>
        <w:jc w:val="both"/>
      </w:pPr>
      <w:r>
        <w:rPr>
          <w:spacing w:val="3"/>
        </w:rPr>
        <w:t xml:space="preserve">При    передаче    изделия,  Поставщик    обязан    разъяснить </w:t>
      </w:r>
      <w:r>
        <w:t>Получателю условия и требования к эксплуатации изделия.</w:t>
      </w:r>
    </w:p>
    <w:p w:rsidR="004E18F3" w:rsidRDefault="004E18F3" w:rsidP="004E18F3">
      <w:pPr>
        <w:keepNext/>
        <w:keepLines/>
        <w:ind w:firstLine="709"/>
        <w:jc w:val="both"/>
      </w:pPr>
      <w: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4E18F3" w:rsidRDefault="004E18F3" w:rsidP="004E18F3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lastRenderedPageBreak/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CB"/>
    <w:rsid w:val="004E18F3"/>
    <w:rsid w:val="00660ACB"/>
    <w:rsid w:val="009B1C82"/>
    <w:rsid w:val="00A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F3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Normal (Web)"/>
    <w:aliases w:val="Обычный (Web),Обычный (веб)1"/>
    <w:unhideWhenUsed/>
    <w:qFormat/>
    <w:rsid w:val="004E18F3"/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aliases w:val="Основной текст 1 Знак1,Основной текст 11 Знак1,Основной текст 12 Знак1"/>
    <w:basedOn w:val="a0"/>
    <w:link w:val="ae"/>
    <w:uiPriority w:val="99"/>
    <w:semiHidden/>
    <w:locked/>
    <w:rsid w:val="004E18F3"/>
    <w:rPr>
      <w:sz w:val="24"/>
    </w:rPr>
  </w:style>
  <w:style w:type="paragraph" w:styleId="ae">
    <w:name w:val="Body Text Indent"/>
    <w:aliases w:val="Основной текст 1,Основной текст 11,Основной текст 12"/>
    <w:basedOn w:val="a"/>
    <w:link w:val="ad"/>
    <w:uiPriority w:val="99"/>
    <w:semiHidden/>
    <w:unhideWhenUsed/>
    <w:rsid w:val="004E18F3"/>
    <w:pPr>
      <w:spacing w:after="120"/>
      <w:ind w:left="283"/>
      <w:jc w:val="both"/>
    </w:pPr>
    <w:rPr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4E18F3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4E18F3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4E1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explanatorynotes">
    <w:name w:val="explanatory_notes"/>
    <w:basedOn w:val="a"/>
    <w:rsid w:val="004E18F3"/>
    <w:pPr>
      <w:suppressAutoHyphens/>
      <w:spacing w:after="120" w:line="360" w:lineRule="exact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52">
    <w:name w:val="xl52"/>
    <w:basedOn w:val="a"/>
    <w:rsid w:val="004E18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F3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Normal (Web)"/>
    <w:aliases w:val="Обычный (Web),Обычный (веб)1"/>
    <w:unhideWhenUsed/>
    <w:qFormat/>
    <w:rsid w:val="004E18F3"/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aliases w:val="Основной текст 1 Знак1,Основной текст 11 Знак1,Основной текст 12 Знак1"/>
    <w:basedOn w:val="a0"/>
    <w:link w:val="ae"/>
    <w:uiPriority w:val="99"/>
    <w:semiHidden/>
    <w:locked/>
    <w:rsid w:val="004E18F3"/>
    <w:rPr>
      <w:sz w:val="24"/>
    </w:rPr>
  </w:style>
  <w:style w:type="paragraph" w:styleId="ae">
    <w:name w:val="Body Text Indent"/>
    <w:aliases w:val="Основной текст 1,Основной текст 11,Основной текст 12"/>
    <w:basedOn w:val="a"/>
    <w:link w:val="ad"/>
    <w:uiPriority w:val="99"/>
    <w:semiHidden/>
    <w:unhideWhenUsed/>
    <w:rsid w:val="004E18F3"/>
    <w:pPr>
      <w:spacing w:after="120"/>
      <w:ind w:left="283"/>
      <w:jc w:val="both"/>
    </w:pPr>
    <w:rPr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4E18F3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4E18F3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4E1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explanatorynotes">
    <w:name w:val="explanatory_notes"/>
    <w:basedOn w:val="a"/>
    <w:rsid w:val="004E18F3"/>
    <w:pPr>
      <w:suppressAutoHyphens/>
      <w:spacing w:after="120" w:line="360" w:lineRule="exact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52">
    <w:name w:val="xl52"/>
    <w:basedOn w:val="a"/>
    <w:rsid w:val="004E18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2550</Words>
  <Characters>14539</Characters>
  <Application>Microsoft Office Word</Application>
  <DocSecurity>0</DocSecurity>
  <Lines>121</Lines>
  <Paragraphs>34</Paragraphs>
  <ScaleCrop>false</ScaleCrop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2018-07-23T02:22:00Z</dcterms:created>
  <dcterms:modified xsi:type="dcterms:W3CDTF">2018-07-23T02:23:00Z</dcterms:modified>
</cp:coreProperties>
</file>