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2B" w:rsidRDefault="00334B2B" w:rsidP="00334B2B">
      <w:pPr>
        <w:pageBreakBefore/>
        <w:rPr>
          <w:rFonts w:eastAsia="Lucida Sans Unicode"/>
          <w:b/>
          <w:bCs/>
        </w:rPr>
      </w:pPr>
      <w:r>
        <w:rPr>
          <w:rFonts w:eastAsia="Lucida Sans Unicode"/>
          <w:b/>
          <w:bCs/>
        </w:rPr>
        <w:t>Техническое задание</w:t>
      </w:r>
    </w:p>
    <w:p w:rsidR="00334B2B" w:rsidRPr="00F95547" w:rsidRDefault="00334B2B" w:rsidP="00334B2B">
      <w:pPr>
        <w:jc w:val="both"/>
        <w:rPr>
          <w:b/>
        </w:rPr>
      </w:pPr>
      <w:r w:rsidRPr="00F95547">
        <w:rPr>
          <w:b/>
        </w:rPr>
        <w:t>Поставка в 2018 году бандажей ортопедических на верхнюю конечность для улучшения лимфовенозного оттока, в том числе после ампутации молочной железы для обеспечения инвалидов и отдельных катег</w:t>
      </w:r>
      <w:r>
        <w:rPr>
          <w:b/>
        </w:rPr>
        <w:t>орий граждан из числа ветеранов</w:t>
      </w:r>
    </w:p>
    <w:p w:rsidR="00334B2B" w:rsidRPr="00EB022B" w:rsidRDefault="00334B2B" w:rsidP="00334B2B">
      <w:pPr>
        <w:jc w:val="both"/>
        <w:rPr>
          <w:b/>
        </w:rPr>
      </w:pPr>
    </w:p>
    <w:tbl>
      <w:tblPr>
        <w:tblW w:w="10632" w:type="dxa"/>
        <w:tblInd w:w="108" w:type="dxa"/>
        <w:tblLayout w:type="fixed"/>
        <w:tblLook w:val="0000" w:firstRow="0" w:lastRow="0" w:firstColumn="0" w:lastColumn="0" w:noHBand="0" w:noVBand="0"/>
      </w:tblPr>
      <w:tblGrid>
        <w:gridCol w:w="1980"/>
        <w:gridCol w:w="4257"/>
        <w:gridCol w:w="1560"/>
        <w:gridCol w:w="1417"/>
        <w:gridCol w:w="1418"/>
      </w:tblGrid>
      <w:tr w:rsidR="00334B2B" w:rsidTr="002D0CEF">
        <w:trPr>
          <w:trHeight w:val="470"/>
        </w:trPr>
        <w:tc>
          <w:tcPr>
            <w:tcW w:w="1980" w:type="dxa"/>
            <w:tcBorders>
              <w:top w:val="single" w:sz="4" w:space="0" w:color="000000"/>
              <w:left w:val="single" w:sz="4" w:space="0" w:color="000000"/>
              <w:bottom w:val="single" w:sz="4" w:space="0" w:color="000000"/>
            </w:tcBorders>
            <w:shd w:val="clear" w:color="auto" w:fill="auto"/>
          </w:tcPr>
          <w:p w:rsidR="00334B2B" w:rsidRPr="005F69EF" w:rsidRDefault="00334B2B" w:rsidP="002D0CEF">
            <w:pPr>
              <w:jc w:val="center"/>
              <w:rPr>
                <w:b/>
                <w:sz w:val="20"/>
                <w:szCs w:val="20"/>
              </w:rPr>
            </w:pPr>
            <w:r w:rsidRPr="005F69EF">
              <w:rPr>
                <w:b/>
                <w:sz w:val="20"/>
                <w:szCs w:val="20"/>
              </w:rPr>
              <w:t>Наименование Товара</w:t>
            </w:r>
          </w:p>
        </w:tc>
        <w:tc>
          <w:tcPr>
            <w:tcW w:w="4257" w:type="dxa"/>
            <w:tcBorders>
              <w:top w:val="single" w:sz="4" w:space="0" w:color="000000"/>
              <w:left w:val="single" w:sz="4" w:space="0" w:color="000000"/>
              <w:bottom w:val="single" w:sz="4" w:space="0" w:color="000000"/>
            </w:tcBorders>
            <w:shd w:val="clear" w:color="auto" w:fill="auto"/>
          </w:tcPr>
          <w:p w:rsidR="00334B2B" w:rsidRPr="005F69EF" w:rsidRDefault="00334B2B" w:rsidP="002D0CEF">
            <w:pPr>
              <w:jc w:val="center"/>
              <w:rPr>
                <w:b/>
                <w:sz w:val="20"/>
                <w:szCs w:val="20"/>
              </w:rPr>
            </w:pPr>
            <w:r w:rsidRPr="005F69EF">
              <w:rPr>
                <w:b/>
                <w:sz w:val="20"/>
                <w:szCs w:val="20"/>
              </w:rPr>
              <w:t>Наименование характеристики</w:t>
            </w:r>
            <w:r>
              <w:rPr>
                <w:b/>
                <w:sz w:val="20"/>
                <w:szCs w:val="20"/>
              </w:rPr>
              <w:t xml:space="preserve"> Товара</w:t>
            </w:r>
          </w:p>
        </w:tc>
        <w:tc>
          <w:tcPr>
            <w:tcW w:w="1560" w:type="dxa"/>
            <w:tcBorders>
              <w:top w:val="single" w:sz="4" w:space="0" w:color="000000"/>
              <w:left w:val="single" w:sz="4" w:space="0" w:color="000000"/>
              <w:bottom w:val="single" w:sz="4" w:space="0" w:color="000000"/>
            </w:tcBorders>
            <w:shd w:val="clear" w:color="auto" w:fill="auto"/>
          </w:tcPr>
          <w:p w:rsidR="00334B2B" w:rsidRPr="005F69EF" w:rsidRDefault="00334B2B" w:rsidP="002D0CEF">
            <w:pPr>
              <w:jc w:val="center"/>
              <w:rPr>
                <w:b/>
                <w:sz w:val="20"/>
                <w:szCs w:val="20"/>
              </w:rPr>
            </w:pPr>
            <w:r w:rsidRPr="005F69EF">
              <w:rPr>
                <w:b/>
                <w:sz w:val="20"/>
                <w:szCs w:val="20"/>
              </w:rPr>
              <w:t>Показатель характеристики</w:t>
            </w:r>
            <w:r>
              <w:rPr>
                <w:b/>
                <w:sz w:val="20"/>
                <w:szCs w:val="20"/>
              </w:rPr>
              <w:t xml:space="preserve"> Товара</w:t>
            </w:r>
          </w:p>
        </w:tc>
        <w:tc>
          <w:tcPr>
            <w:tcW w:w="1417" w:type="dxa"/>
            <w:tcBorders>
              <w:top w:val="single" w:sz="4" w:space="0" w:color="000000"/>
              <w:left w:val="single" w:sz="4" w:space="0" w:color="000000"/>
              <w:bottom w:val="single" w:sz="4" w:space="0" w:color="000000"/>
            </w:tcBorders>
            <w:shd w:val="clear" w:color="auto" w:fill="auto"/>
            <w:vAlign w:val="center"/>
          </w:tcPr>
          <w:p w:rsidR="00334B2B" w:rsidRPr="005F69EF" w:rsidRDefault="00334B2B" w:rsidP="002D0CEF">
            <w:pPr>
              <w:jc w:val="center"/>
              <w:rPr>
                <w:b/>
                <w:sz w:val="20"/>
                <w:szCs w:val="20"/>
              </w:rPr>
            </w:pPr>
            <w:r w:rsidRPr="005F69EF">
              <w:rPr>
                <w:b/>
                <w:sz w:val="20"/>
                <w:szCs w:val="20"/>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34B2B" w:rsidRPr="005F69EF" w:rsidRDefault="00334B2B" w:rsidP="002D0CEF">
            <w:pPr>
              <w:jc w:val="center"/>
              <w:rPr>
                <w:b/>
                <w:sz w:val="20"/>
                <w:szCs w:val="20"/>
              </w:rPr>
            </w:pPr>
            <w:r w:rsidRPr="005F69EF">
              <w:rPr>
                <w:b/>
                <w:sz w:val="20"/>
                <w:szCs w:val="20"/>
              </w:rPr>
              <w:t>Количество</w:t>
            </w:r>
          </w:p>
          <w:p w:rsidR="00334B2B" w:rsidRPr="005F69EF" w:rsidRDefault="00334B2B" w:rsidP="002D0CEF">
            <w:pPr>
              <w:jc w:val="center"/>
              <w:rPr>
                <w:b/>
                <w:sz w:val="20"/>
                <w:szCs w:val="20"/>
              </w:rPr>
            </w:pPr>
            <w:r w:rsidRPr="005F69EF">
              <w:rPr>
                <w:b/>
                <w:sz w:val="20"/>
                <w:szCs w:val="20"/>
              </w:rPr>
              <w:t xml:space="preserve">Товара </w:t>
            </w:r>
          </w:p>
        </w:tc>
      </w:tr>
      <w:tr w:rsidR="00334B2B" w:rsidTr="002D0CEF">
        <w:trPr>
          <w:trHeight w:val="221"/>
        </w:trPr>
        <w:tc>
          <w:tcPr>
            <w:tcW w:w="1980" w:type="dxa"/>
            <w:vMerge w:val="restart"/>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hd w:val="clear" w:color="auto" w:fill="FFFFFF"/>
              </w:rPr>
            </w:pPr>
            <w:r>
              <w:t>Бандаж ортопедический на верхнюю конечность для улучшения лимфовенозного оттока, в том числе после ампутации молочной железы</w:t>
            </w:r>
          </w:p>
          <w:p w:rsidR="00334B2B" w:rsidRDefault="00334B2B" w:rsidP="002D0CEF">
            <w:pPr>
              <w:snapToGrid w:val="0"/>
              <w:rPr>
                <w:shd w:val="clear" w:color="auto" w:fill="FFFFFF"/>
              </w:rPr>
            </w:pPr>
          </w:p>
        </w:tc>
        <w:tc>
          <w:tcPr>
            <w:tcW w:w="4257" w:type="dxa"/>
            <w:tcBorders>
              <w:top w:val="single" w:sz="4" w:space="0" w:color="000000"/>
              <w:left w:val="single" w:sz="4" w:space="0" w:color="000000"/>
              <w:bottom w:val="single" w:sz="4" w:space="0" w:color="000000"/>
            </w:tcBorders>
            <w:shd w:val="clear" w:color="auto" w:fill="auto"/>
          </w:tcPr>
          <w:p w:rsidR="00334B2B" w:rsidRDefault="00334B2B" w:rsidP="002D0CEF">
            <w:pPr>
              <w:rPr>
                <w:shd w:val="clear" w:color="auto" w:fill="FFFFFF"/>
              </w:rPr>
            </w:pPr>
            <w:r>
              <w:t>Изделие бесшовное, с перчаткой или без перчатки по потребности Получателя</w:t>
            </w:r>
          </w:p>
        </w:tc>
        <w:tc>
          <w:tcPr>
            <w:tcW w:w="1560" w:type="dxa"/>
            <w:tcBorders>
              <w:top w:val="single" w:sz="4" w:space="0" w:color="000000"/>
              <w:left w:val="single" w:sz="4" w:space="0" w:color="000000"/>
              <w:bottom w:val="single" w:sz="4" w:space="0" w:color="000000"/>
            </w:tcBorders>
            <w:shd w:val="clear" w:color="auto" w:fill="auto"/>
          </w:tcPr>
          <w:p w:rsidR="00334B2B" w:rsidRDefault="00334B2B" w:rsidP="002D0CEF">
            <w:r>
              <w:rPr>
                <w:shd w:val="clear" w:color="auto" w:fill="FFFFFF"/>
              </w:rPr>
              <w:t>Наличие</w:t>
            </w:r>
          </w:p>
        </w:tc>
        <w:tc>
          <w:tcPr>
            <w:tcW w:w="1417" w:type="dxa"/>
            <w:vMerge w:val="restart"/>
            <w:tcBorders>
              <w:top w:val="single" w:sz="4" w:space="0" w:color="000000"/>
              <w:left w:val="single" w:sz="4" w:space="0" w:color="000000"/>
              <w:bottom w:val="single" w:sz="4" w:space="0" w:color="000000"/>
            </w:tcBorders>
            <w:shd w:val="clear" w:color="auto" w:fill="auto"/>
          </w:tcPr>
          <w:p w:rsidR="00334B2B" w:rsidRDefault="00334B2B" w:rsidP="002D0CEF">
            <w:pPr>
              <w:jc w:val="center"/>
              <w:rPr>
                <w:lang w:val="en-US"/>
              </w:rPr>
            </w:pPr>
            <w:r>
              <w:t>штука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34B2B" w:rsidRDefault="00334B2B" w:rsidP="002D0CEF">
            <w:pPr>
              <w:jc w:val="center"/>
            </w:pPr>
            <w:r>
              <w:t>5</w:t>
            </w:r>
            <w:r>
              <w:rPr>
                <w:lang w:val="en-US"/>
              </w:rPr>
              <w:t>00</w:t>
            </w:r>
          </w:p>
        </w:tc>
      </w:tr>
      <w:tr w:rsidR="00334B2B" w:rsidTr="002D0CEF">
        <w:trPr>
          <w:trHeight w:val="221"/>
        </w:trPr>
        <w:tc>
          <w:tcPr>
            <w:tcW w:w="1980"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z w:val="8"/>
                <w:shd w:val="clear" w:color="auto" w:fill="FFFFFF"/>
              </w:rPr>
            </w:pPr>
          </w:p>
        </w:tc>
        <w:tc>
          <w:tcPr>
            <w:tcW w:w="4257"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hd w:val="clear" w:color="auto" w:fill="FFFFFF"/>
              </w:rPr>
            </w:pPr>
            <w:r>
              <w:rPr>
                <w:shd w:val="clear" w:color="auto" w:fill="FFFFFF"/>
              </w:rPr>
              <w:t xml:space="preserve">Эластическая компрессия соответствует </w:t>
            </w:r>
            <w:r>
              <w:rPr>
                <w:shd w:val="clear" w:color="auto" w:fill="FFFFFF"/>
                <w:lang w:val="en-US"/>
              </w:rPr>
              <w:t>II</w:t>
            </w:r>
            <w:r>
              <w:rPr>
                <w:shd w:val="clear" w:color="auto" w:fill="FFFFFF"/>
              </w:rPr>
              <w:t xml:space="preserve"> классу</w:t>
            </w:r>
          </w:p>
        </w:tc>
        <w:tc>
          <w:tcPr>
            <w:tcW w:w="1560"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pPr>
            <w:r>
              <w:rPr>
                <w:shd w:val="clear" w:color="auto" w:fill="FFFFFF"/>
              </w:rPr>
              <w:t>Наличие</w:t>
            </w:r>
          </w:p>
        </w:tc>
        <w:tc>
          <w:tcPr>
            <w:tcW w:w="1417"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jc w:val="cente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34B2B" w:rsidRDefault="00334B2B" w:rsidP="002D0CEF">
            <w:pPr>
              <w:snapToGrid w:val="0"/>
              <w:jc w:val="center"/>
            </w:pPr>
          </w:p>
        </w:tc>
      </w:tr>
      <w:tr w:rsidR="00334B2B" w:rsidTr="002D0CEF">
        <w:trPr>
          <w:trHeight w:val="221"/>
        </w:trPr>
        <w:tc>
          <w:tcPr>
            <w:tcW w:w="1980"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z w:val="8"/>
                <w:shd w:val="clear" w:color="auto" w:fill="FFFFFF"/>
              </w:rPr>
            </w:pPr>
          </w:p>
        </w:tc>
        <w:tc>
          <w:tcPr>
            <w:tcW w:w="4257"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pPr>
            <w:r>
              <w:rPr>
                <w:shd w:val="clear" w:color="auto" w:fill="FFFFFF"/>
              </w:rPr>
              <w:t xml:space="preserve">Обеспечение давления в дистальном отделе (запястье) в диапазоне от  </w:t>
            </w:r>
            <w:r>
              <w:t>23 мм</w:t>
            </w:r>
            <w:proofErr w:type="gramStart"/>
            <w:r>
              <w:t>.</w:t>
            </w:r>
            <w:proofErr w:type="gramEnd"/>
            <w:r>
              <w:t xml:space="preserve"> </w:t>
            </w:r>
            <w:proofErr w:type="spellStart"/>
            <w:proofErr w:type="gramStart"/>
            <w:r>
              <w:t>р</w:t>
            </w:r>
            <w:proofErr w:type="gramEnd"/>
            <w:r>
              <w:t>т.ст</w:t>
            </w:r>
            <w:proofErr w:type="spellEnd"/>
            <w:r>
              <w:t>.</w:t>
            </w:r>
          </w:p>
          <w:p w:rsidR="00334B2B" w:rsidRDefault="00334B2B" w:rsidP="002D0CEF">
            <w:pPr>
              <w:snapToGrid w:val="0"/>
            </w:pPr>
            <w:r>
              <w:t xml:space="preserve">(включительно), </w:t>
            </w:r>
          </w:p>
          <w:p w:rsidR="00334B2B" w:rsidRDefault="00334B2B" w:rsidP="002D0CEF">
            <w:pPr>
              <w:snapToGrid w:val="0"/>
              <w:rPr>
                <w:shd w:val="clear" w:color="auto" w:fill="FFFFFF"/>
              </w:rPr>
            </w:pPr>
            <w:r>
              <w:t>до 32 мм</w:t>
            </w:r>
            <w:proofErr w:type="gramStart"/>
            <w:r>
              <w:t>.</w:t>
            </w:r>
            <w:proofErr w:type="gramEnd"/>
            <w:r>
              <w:t xml:space="preserve"> </w:t>
            </w:r>
            <w:proofErr w:type="spellStart"/>
            <w:proofErr w:type="gramStart"/>
            <w:r>
              <w:t>р</w:t>
            </w:r>
            <w:proofErr w:type="gramEnd"/>
            <w:r>
              <w:t>т.ст</w:t>
            </w:r>
            <w:proofErr w:type="spellEnd"/>
            <w:r>
              <w:t>. (включительно)</w:t>
            </w:r>
          </w:p>
        </w:tc>
        <w:tc>
          <w:tcPr>
            <w:tcW w:w="1560"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pPr>
            <w:r>
              <w:rPr>
                <w:shd w:val="clear" w:color="auto" w:fill="FFFFFF"/>
              </w:rPr>
              <w:t>Наличие</w:t>
            </w:r>
          </w:p>
        </w:tc>
        <w:tc>
          <w:tcPr>
            <w:tcW w:w="1417"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jc w:val="cente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34B2B" w:rsidRDefault="00334B2B" w:rsidP="002D0CEF">
            <w:pPr>
              <w:snapToGrid w:val="0"/>
              <w:jc w:val="center"/>
            </w:pPr>
          </w:p>
        </w:tc>
      </w:tr>
      <w:tr w:rsidR="00334B2B" w:rsidTr="002D0CEF">
        <w:trPr>
          <w:trHeight w:val="221"/>
        </w:trPr>
        <w:tc>
          <w:tcPr>
            <w:tcW w:w="1980"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z w:val="8"/>
                <w:shd w:val="clear" w:color="auto" w:fill="FFFFFF"/>
              </w:rPr>
            </w:pPr>
          </w:p>
        </w:tc>
        <w:tc>
          <w:tcPr>
            <w:tcW w:w="4257" w:type="dxa"/>
            <w:tcBorders>
              <w:top w:val="single" w:sz="4" w:space="0" w:color="000000"/>
              <w:left w:val="single" w:sz="4" w:space="0" w:color="000000"/>
              <w:bottom w:val="single" w:sz="4" w:space="0" w:color="000000"/>
            </w:tcBorders>
            <w:shd w:val="clear" w:color="auto" w:fill="auto"/>
          </w:tcPr>
          <w:p w:rsidR="00334B2B" w:rsidRDefault="00334B2B" w:rsidP="002D0CEF">
            <w:r>
              <w:t>Количество размеров</w:t>
            </w:r>
          </w:p>
        </w:tc>
        <w:tc>
          <w:tcPr>
            <w:tcW w:w="1560" w:type="dxa"/>
            <w:tcBorders>
              <w:top w:val="single" w:sz="4" w:space="0" w:color="000000"/>
              <w:left w:val="single" w:sz="4" w:space="0" w:color="000000"/>
              <w:bottom w:val="single" w:sz="4" w:space="0" w:color="000000"/>
            </w:tcBorders>
            <w:shd w:val="clear" w:color="auto" w:fill="auto"/>
          </w:tcPr>
          <w:p w:rsidR="00334B2B" w:rsidRDefault="00334B2B" w:rsidP="002D0CEF">
            <w:r>
              <w:t>Не менее 4</w:t>
            </w:r>
          </w:p>
        </w:tc>
        <w:tc>
          <w:tcPr>
            <w:tcW w:w="1417"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jc w:val="cente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34B2B" w:rsidRDefault="00334B2B" w:rsidP="002D0CEF">
            <w:pPr>
              <w:snapToGrid w:val="0"/>
              <w:jc w:val="center"/>
            </w:pPr>
          </w:p>
        </w:tc>
      </w:tr>
      <w:tr w:rsidR="00334B2B" w:rsidTr="002D0CEF">
        <w:trPr>
          <w:trHeight w:val="221"/>
        </w:trPr>
        <w:tc>
          <w:tcPr>
            <w:tcW w:w="1980"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rPr>
                <w:sz w:val="8"/>
                <w:shd w:val="clear" w:color="auto" w:fill="FFFFFF"/>
              </w:rPr>
            </w:pPr>
          </w:p>
        </w:tc>
        <w:tc>
          <w:tcPr>
            <w:tcW w:w="4257"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pPr>
            <w:r>
              <w:rPr>
                <w:shd w:val="clear" w:color="auto" w:fill="FFFFFF"/>
              </w:rPr>
              <w:t>Каждое Изделие имеет гарантийный талон с указанием адресов и режима работы пунктов приема получателей по вопросам гарантийного ремонта (замены) Изделия, инструкция по эксплуатации Изделия.</w:t>
            </w:r>
          </w:p>
        </w:tc>
        <w:tc>
          <w:tcPr>
            <w:tcW w:w="1560" w:type="dxa"/>
            <w:tcBorders>
              <w:top w:val="single" w:sz="4" w:space="0" w:color="000000"/>
              <w:left w:val="single" w:sz="4" w:space="0" w:color="000000"/>
              <w:bottom w:val="single" w:sz="4" w:space="0" w:color="000000"/>
            </w:tcBorders>
            <w:shd w:val="clear" w:color="auto" w:fill="auto"/>
          </w:tcPr>
          <w:p w:rsidR="00334B2B" w:rsidRDefault="00334B2B" w:rsidP="002D0CEF">
            <w:pPr>
              <w:snapToGrid w:val="0"/>
            </w:pPr>
            <w:r>
              <w:t>Наличие</w:t>
            </w:r>
          </w:p>
        </w:tc>
        <w:tc>
          <w:tcPr>
            <w:tcW w:w="1417" w:type="dxa"/>
            <w:vMerge/>
            <w:tcBorders>
              <w:top w:val="single" w:sz="4" w:space="0" w:color="000000"/>
              <w:left w:val="single" w:sz="4" w:space="0" w:color="000000"/>
              <w:bottom w:val="single" w:sz="4" w:space="0" w:color="000000"/>
            </w:tcBorders>
            <w:shd w:val="clear" w:color="auto" w:fill="auto"/>
          </w:tcPr>
          <w:p w:rsidR="00334B2B" w:rsidRDefault="00334B2B" w:rsidP="002D0CEF">
            <w:pPr>
              <w:snapToGrid w:val="0"/>
              <w:jc w:val="cente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34B2B" w:rsidRDefault="00334B2B" w:rsidP="002D0CEF">
            <w:pPr>
              <w:snapToGrid w:val="0"/>
              <w:jc w:val="center"/>
            </w:pPr>
          </w:p>
        </w:tc>
      </w:tr>
    </w:tbl>
    <w:p w:rsidR="00334B2B" w:rsidRDefault="00334B2B" w:rsidP="00334B2B">
      <w:pPr>
        <w:ind w:right="10"/>
        <w:jc w:val="both"/>
      </w:pPr>
    </w:p>
    <w:p w:rsidR="00334B2B" w:rsidRPr="009656DE" w:rsidRDefault="00334B2B" w:rsidP="00334B2B">
      <w:pPr>
        <w:shd w:val="clear" w:color="auto" w:fill="FFFFFF"/>
        <w:tabs>
          <w:tab w:val="left" w:pos="0"/>
        </w:tabs>
        <w:autoSpaceDE w:val="0"/>
        <w:ind w:firstLine="709"/>
        <w:jc w:val="center"/>
        <w:rPr>
          <w:rFonts w:eastAsia="Lucida Sans Unicode"/>
          <w:b/>
          <w:color w:val="00000A"/>
        </w:rPr>
      </w:pPr>
      <w:r w:rsidRPr="009656DE">
        <w:rPr>
          <w:rFonts w:eastAsia="Lucida Sans Unicode"/>
          <w:b/>
          <w:color w:val="00000A"/>
        </w:rPr>
        <w:t xml:space="preserve">Требования к </w:t>
      </w:r>
      <w:proofErr w:type="gramStart"/>
      <w:r w:rsidRPr="009656DE">
        <w:rPr>
          <w:rFonts w:eastAsia="Lucida Sans Unicode"/>
          <w:b/>
          <w:color w:val="00000A"/>
        </w:rPr>
        <w:t>функциональным</w:t>
      </w:r>
      <w:proofErr w:type="gramEnd"/>
      <w:r w:rsidRPr="009656DE">
        <w:rPr>
          <w:rFonts w:eastAsia="Lucida Sans Unicode"/>
          <w:b/>
          <w:color w:val="00000A"/>
        </w:rPr>
        <w:t xml:space="preserve">, техническим и качественным </w:t>
      </w:r>
    </w:p>
    <w:p w:rsidR="00334B2B" w:rsidRPr="009656DE" w:rsidRDefault="00334B2B" w:rsidP="00334B2B">
      <w:pPr>
        <w:shd w:val="clear" w:color="auto" w:fill="FFFFFF"/>
        <w:tabs>
          <w:tab w:val="left" w:pos="0"/>
        </w:tabs>
        <w:autoSpaceDE w:val="0"/>
        <w:ind w:firstLine="709"/>
        <w:jc w:val="center"/>
        <w:rPr>
          <w:rFonts w:eastAsia="Lucida Sans Unicode"/>
          <w:b/>
          <w:color w:val="00000A"/>
        </w:rPr>
      </w:pPr>
      <w:r w:rsidRPr="009656DE">
        <w:rPr>
          <w:rFonts w:eastAsia="Lucida Sans Unicode"/>
          <w:b/>
          <w:color w:val="00000A"/>
        </w:rPr>
        <w:t>характеристикам товара</w:t>
      </w:r>
    </w:p>
    <w:p w:rsidR="00334B2B" w:rsidRPr="009656DE" w:rsidRDefault="00334B2B" w:rsidP="00334B2B">
      <w:pPr>
        <w:shd w:val="clear" w:color="auto" w:fill="FFFFFF"/>
        <w:tabs>
          <w:tab w:val="left" w:pos="0"/>
        </w:tabs>
        <w:autoSpaceDE w:val="0"/>
        <w:ind w:firstLine="709"/>
        <w:jc w:val="center"/>
        <w:rPr>
          <w:rFonts w:eastAsia="Lucida Sans Unicode"/>
          <w:b/>
          <w:color w:val="00000A"/>
        </w:rPr>
      </w:pPr>
    </w:p>
    <w:p w:rsidR="00334B2B" w:rsidRPr="009656DE" w:rsidRDefault="00334B2B" w:rsidP="00334B2B">
      <w:pPr>
        <w:jc w:val="both"/>
        <w:rPr>
          <w:bCs/>
        </w:rPr>
      </w:pPr>
      <w:r w:rsidRPr="009656DE">
        <w:rPr>
          <w:rFonts w:eastAsia="Lucida Sans Unicode"/>
          <w:color w:val="00000A"/>
        </w:rPr>
        <w:t xml:space="preserve">  </w:t>
      </w:r>
      <w:r w:rsidRPr="009656DE">
        <w:rPr>
          <w:rFonts w:eastAsia="Lucida Sans Unicode"/>
          <w:bCs/>
          <w:color w:val="00000A"/>
        </w:rPr>
        <w:t>Бандажи должны отвечать требованиям:</w:t>
      </w:r>
    </w:p>
    <w:p w:rsidR="00334B2B" w:rsidRPr="009656DE" w:rsidRDefault="00334B2B" w:rsidP="00334B2B">
      <w:pPr>
        <w:jc w:val="both"/>
      </w:pPr>
      <w:r w:rsidRPr="009656DE">
        <w:rPr>
          <w:bCs/>
        </w:rPr>
        <w:t xml:space="preserve"> -</w:t>
      </w:r>
      <w:r w:rsidRPr="009656DE">
        <w:rPr>
          <w:bCs/>
        </w:rPr>
        <w:tab/>
        <w:t>ГОСТ ISO 10993-1-2011 «Изделия медицинские. Оценка биологического действия медицинских изделий. Часть 1. Оценка и исследования»;</w:t>
      </w:r>
    </w:p>
    <w:p w:rsidR="00334B2B" w:rsidRPr="009656DE" w:rsidRDefault="00334B2B" w:rsidP="00334B2B">
      <w:pPr>
        <w:jc w:val="both"/>
      </w:pPr>
      <w:r w:rsidRPr="009656DE">
        <w:t xml:space="preserve">- </w:t>
      </w:r>
      <w:r w:rsidRPr="009656DE">
        <w:tab/>
        <w:t xml:space="preserve">ГОСТ ISO 10993-5-2011 «Изделия медицинские. Оценка биологического действия медицинских изделий. Часть 5. Исследования на </w:t>
      </w:r>
      <w:proofErr w:type="spellStart"/>
      <w:r w:rsidRPr="009656DE">
        <w:t>цитотоксичность</w:t>
      </w:r>
      <w:proofErr w:type="spellEnd"/>
      <w:r w:rsidRPr="009656DE">
        <w:t xml:space="preserve">: методы </w:t>
      </w:r>
      <w:proofErr w:type="spellStart"/>
      <w:r w:rsidRPr="009656DE">
        <w:t>in</w:t>
      </w:r>
      <w:proofErr w:type="spellEnd"/>
      <w:r w:rsidRPr="009656DE">
        <w:t xml:space="preserve"> </w:t>
      </w:r>
      <w:proofErr w:type="spellStart"/>
      <w:r w:rsidRPr="009656DE">
        <w:t>vitro</w:t>
      </w:r>
      <w:proofErr w:type="spellEnd"/>
      <w:r w:rsidRPr="009656DE">
        <w:t>»;</w:t>
      </w:r>
    </w:p>
    <w:p w:rsidR="00334B2B" w:rsidRPr="009656DE" w:rsidRDefault="00334B2B" w:rsidP="00334B2B">
      <w:pPr>
        <w:jc w:val="both"/>
      </w:pPr>
      <w:r w:rsidRPr="009656DE">
        <w:t>-</w:t>
      </w:r>
      <w:r w:rsidRPr="009656DE">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34B2B" w:rsidRPr="009656DE" w:rsidRDefault="00334B2B" w:rsidP="00334B2B">
      <w:pPr>
        <w:jc w:val="both"/>
      </w:pPr>
      <w:r w:rsidRPr="009656DE">
        <w:t>-</w:t>
      </w:r>
      <w:r w:rsidRPr="009656DE">
        <w:tab/>
        <w:t xml:space="preserve">ГОСТ </w:t>
      </w:r>
      <w:proofErr w:type="gramStart"/>
      <w:r w:rsidRPr="009656DE">
        <w:t>Р</w:t>
      </w:r>
      <w:proofErr w:type="gramEnd"/>
      <w:r w:rsidRPr="009656DE">
        <w:t xml:space="preserve"> 52770-2016 «Изделия медицинские. Требования безопасности. Методы санитарно-химических и токсикологических</w:t>
      </w:r>
      <w:r w:rsidRPr="009656DE">
        <w:rPr>
          <w:b/>
          <w:bCs/>
          <w:lang w:eastAsia="ru-RU"/>
        </w:rPr>
        <w:t xml:space="preserve"> </w:t>
      </w:r>
      <w:r w:rsidRPr="009656DE">
        <w:t>испытаний»;</w:t>
      </w:r>
    </w:p>
    <w:p w:rsidR="00334B2B" w:rsidRPr="009656DE" w:rsidRDefault="00334B2B" w:rsidP="00334B2B">
      <w:pPr>
        <w:jc w:val="both"/>
        <w:rPr>
          <w:rFonts w:eastAsia="Lucida Sans Unicode"/>
          <w:color w:val="00000A"/>
        </w:rPr>
      </w:pPr>
      <w:r w:rsidRPr="009656DE">
        <w:t>-</w:t>
      </w:r>
      <w:r w:rsidRPr="009656DE">
        <w:tab/>
        <w:t xml:space="preserve">ГОСТ </w:t>
      </w:r>
      <w:proofErr w:type="gramStart"/>
      <w:r w:rsidRPr="009656DE">
        <w:t>Р</w:t>
      </w:r>
      <w:proofErr w:type="gramEnd"/>
      <w:r w:rsidRPr="009656DE">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334B2B" w:rsidRPr="009656DE" w:rsidRDefault="00334B2B" w:rsidP="00334B2B">
      <w:pPr>
        <w:pStyle w:val="ae"/>
        <w:rPr>
          <w:rFonts w:ascii="Times New Roman" w:hAnsi="Times New Roman" w:cs="Times New Roman"/>
          <w:sz w:val="24"/>
        </w:rPr>
      </w:pPr>
      <w:r w:rsidRPr="009656DE">
        <w:rPr>
          <w:rFonts w:ascii="Times New Roman" w:eastAsia="Lucida Sans Unicode" w:hAnsi="Times New Roman" w:cs="Times New Roman"/>
          <w:b/>
          <w:bCs/>
          <w:color w:val="00000A"/>
          <w:sz w:val="24"/>
        </w:rPr>
        <w:t xml:space="preserve"> - </w:t>
      </w:r>
      <w:r w:rsidRPr="009656DE">
        <w:rPr>
          <w:rFonts w:ascii="Times New Roman" w:eastAsia="Lucida Sans Unicode" w:hAnsi="Times New Roman" w:cs="Times New Roman"/>
          <w:b/>
          <w:bCs/>
          <w:color w:val="00000A"/>
          <w:sz w:val="24"/>
        </w:rPr>
        <w:tab/>
      </w:r>
      <w:r w:rsidRPr="009656DE">
        <w:rPr>
          <w:rFonts w:ascii="Times New Roman" w:hAnsi="Times New Roman" w:cs="Times New Roman"/>
          <w:sz w:val="24"/>
        </w:rPr>
        <w:t>ГОСТ 31509-2012 «Изделия медицинские эластичные фиксирующие и компрессионные. Общие технические требования. Методы испытаний»</w:t>
      </w:r>
    </w:p>
    <w:p w:rsidR="00334B2B" w:rsidRPr="009656DE" w:rsidRDefault="00334B2B" w:rsidP="00334B2B">
      <w:pPr>
        <w:pStyle w:val="1"/>
        <w:widowControl/>
        <w:numPr>
          <w:ilvl w:val="0"/>
          <w:numId w:val="7"/>
        </w:numPr>
        <w:overflowPunct w:val="0"/>
        <w:autoSpaceDE w:val="0"/>
        <w:spacing w:before="0" w:after="0"/>
        <w:jc w:val="both"/>
        <w:textAlignment w:val="baseline"/>
        <w:rPr>
          <w:rFonts w:ascii="Times New Roman" w:eastAsia="Lucida Sans Unicode" w:hAnsi="Times New Roman"/>
          <w:color w:val="00000A"/>
          <w:sz w:val="24"/>
          <w:szCs w:val="24"/>
        </w:rPr>
      </w:pPr>
    </w:p>
    <w:p w:rsidR="00334B2B" w:rsidRPr="009656DE" w:rsidRDefault="00334B2B" w:rsidP="00334B2B">
      <w:pPr>
        <w:keepNext/>
        <w:tabs>
          <w:tab w:val="left" w:pos="708"/>
        </w:tabs>
        <w:jc w:val="center"/>
        <w:rPr>
          <w:rFonts w:eastAsia="Lucida Sans Unicode"/>
          <w:b/>
          <w:color w:val="00000A"/>
        </w:rPr>
      </w:pPr>
      <w:r w:rsidRPr="009656DE">
        <w:rPr>
          <w:rFonts w:eastAsia="Lucida Sans Unicode"/>
          <w:b/>
          <w:color w:val="00000A"/>
        </w:rPr>
        <w:t>Требования к безопасности товара</w:t>
      </w:r>
    </w:p>
    <w:p w:rsidR="00334B2B" w:rsidRPr="009656DE" w:rsidRDefault="00334B2B" w:rsidP="00334B2B">
      <w:pPr>
        <w:keepNext/>
        <w:tabs>
          <w:tab w:val="left" w:pos="708"/>
        </w:tabs>
        <w:jc w:val="both"/>
        <w:rPr>
          <w:rFonts w:eastAsia="Lucida Sans Unicode"/>
          <w:b/>
          <w:color w:val="00000A"/>
        </w:rPr>
      </w:pPr>
    </w:p>
    <w:p w:rsidR="00334B2B" w:rsidRPr="009656DE" w:rsidRDefault="00334B2B" w:rsidP="00334B2B">
      <w:pPr>
        <w:ind w:firstLine="709"/>
        <w:jc w:val="both"/>
        <w:rPr>
          <w:rFonts w:eastAsia="Lucida Sans Unicode"/>
          <w:color w:val="00000A"/>
        </w:rPr>
      </w:pPr>
      <w:r w:rsidRPr="009656DE">
        <w:rPr>
          <w:rFonts w:eastAsia="Lucida Sans Unicode"/>
          <w:color w:val="00000A"/>
        </w:rPr>
        <w:t>Поставка инвалидам  бандажей должна осуществляться при наличии регистрационных удостоверений, сертификатов соответствия на протезно-ортопедические изделия.</w:t>
      </w:r>
    </w:p>
    <w:p w:rsidR="00334B2B" w:rsidRPr="009656DE" w:rsidRDefault="00334B2B" w:rsidP="00334B2B">
      <w:pPr>
        <w:keepNext/>
        <w:ind w:firstLine="426"/>
        <w:jc w:val="center"/>
        <w:rPr>
          <w:rFonts w:eastAsia="Lucida Sans Unicode"/>
          <w:b/>
          <w:color w:val="00000A"/>
        </w:rPr>
      </w:pPr>
    </w:p>
    <w:p w:rsidR="00334B2B" w:rsidRPr="009656DE" w:rsidRDefault="00334B2B" w:rsidP="00334B2B">
      <w:pPr>
        <w:keepNext/>
        <w:ind w:firstLine="426"/>
        <w:jc w:val="center"/>
        <w:rPr>
          <w:rFonts w:eastAsia="Lucida Sans Unicode"/>
          <w:color w:val="00000A"/>
        </w:rPr>
      </w:pPr>
      <w:r w:rsidRPr="009656DE">
        <w:rPr>
          <w:rFonts w:eastAsia="Lucida Sans Unicode"/>
          <w:b/>
          <w:color w:val="00000A"/>
        </w:rPr>
        <w:t>Требования к размерам, упаковке, отгрузке товара</w:t>
      </w:r>
    </w:p>
    <w:p w:rsidR="00334B2B" w:rsidRPr="009656DE" w:rsidRDefault="00334B2B" w:rsidP="00334B2B">
      <w:pPr>
        <w:keepNext/>
        <w:ind w:firstLine="426"/>
        <w:jc w:val="center"/>
        <w:rPr>
          <w:rFonts w:eastAsia="Lucida Sans Unicode"/>
          <w:color w:val="00000A"/>
        </w:rPr>
      </w:pPr>
    </w:p>
    <w:p w:rsidR="00334B2B" w:rsidRPr="009656DE" w:rsidRDefault="00334B2B" w:rsidP="00334B2B">
      <w:pPr>
        <w:ind w:firstLine="709"/>
        <w:jc w:val="both"/>
        <w:rPr>
          <w:rFonts w:eastAsia="Lucida Sans Unicode"/>
          <w:color w:val="00000A"/>
        </w:rPr>
      </w:pPr>
      <w:r w:rsidRPr="009656DE">
        <w:rPr>
          <w:rFonts w:eastAsia="Lucida Sans Unicode"/>
          <w:color w:val="00000A"/>
        </w:rPr>
        <w:t xml:space="preserve">Упаковка бандажей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334B2B" w:rsidRPr="009656DE" w:rsidRDefault="00334B2B" w:rsidP="00334B2B">
      <w:pPr>
        <w:shd w:val="clear" w:color="auto" w:fill="FFFFFF"/>
        <w:tabs>
          <w:tab w:val="left" w:pos="720"/>
        </w:tabs>
        <w:autoSpaceDE w:val="0"/>
        <w:ind w:firstLine="709"/>
        <w:jc w:val="both"/>
      </w:pPr>
      <w:r w:rsidRPr="009656DE">
        <w:rPr>
          <w:rFonts w:eastAsia="Lucida Sans Unicode"/>
          <w:color w:val="00000A"/>
        </w:rPr>
        <w:t xml:space="preserve">Упаковка, хранение и транспортирование бандажей должны производиться в </w:t>
      </w:r>
      <w:r w:rsidRPr="009656DE">
        <w:rPr>
          <w:rFonts w:eastAsia="Lucida Sans Unicode"/>
          <w:color w:val="00000A"/>
        </w:rPr>
        <w:lastRenderedPageBreak/>
        <w:t xml:space="preserve">соответствии с  Республиканским стандартом РСФСР РСТ РСФСР 644-80 «Изделия протезно-ортопедические. Общие технические требования». </w:t>
      </w:r>
    </w:p>
    <w:p w:rsidR="00334B2B" w:rsidRPr="009656DE" w:rsidRDefault="00334B2B" w:rsidP="00334B2B">
      <w:pPr>
        <w:ind w:right="10" w:firstLine="426"/>
        <w:jc w:val="both"/>
      </w:pPr>
    </w:p>
    <w:p w:rsidR="00B8732E" w:rsidRDefault="00B8732E" w:rsidP="00B8732E">
      <w:pPr>
        <w:pStyle w:val="a6"/>
        <w:spacing w:after="0"/>
        <w:jc w:val="center"/>
      </w:pPr>
      <w:bookmarkStart w:id="0" w:name="_GoBack"/>
      <w:bookmarkEnd w:id="0"/>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B8732E" w:rsidRDefault="00B8732E" w:rsidP="00B8732E">
      <w:pPr>
        <w:pStyle w:val="a6"/>
        <w:spacing w:after="0"/>
        <w:jc w:val="center"/>
      </w:pPr>
    </w:p>
    <w:p w:rsidR="00002F3E" w:rsidRPr="00B8732E" w:rsidRDefault="00002F3E" w:rsidP="00B8732E"/>
    <w:sectPr w:rsidR="00002F3E" w:rsidRPr="00B8732E"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87" w:rsidRDefault="00AE7487">
      <w:r>
        <w:separator/>
      </w:r>
    </w:p>
  </w:endnote>
  <w:endnote w:type="continuationSeparator" w:id="0">
    <w:p w:rsidR="00AE7487" w:rsidRDefault="00A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34B2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87" w:rsidRDefault="00AE7487">
      <w:r>
        <w:separator/>
      </w:r>
    </w:p>
  </w:footnote>
  <w:footnote w:type="continuationSeparator" w:id="0">
    <w:p w:rsidR="00AE7487" w:rsidRDefault="00AE7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34B2B"/>
    <w:rsid w:val="00350579"/>
    <w:rsid w:val="00366146"/>
    <w:rsid w:val="0038411D"/>
    <w:rsid w:val="00392BC1"/>
    <w:rsid w:val="00392EDF"/>
    <w:rsid w:val="00396C51"/>
    <w:rsid w:val="003A2D9B"/>
    <w:rsid w:val="00406968"/>
    <w:rsid w:val="00417FF9"/>
    <w:rsid w:val="004325F3"/>
    <w:rsid w:val="00436D5A"/>
    <w:rsid w:val="00462C63"/>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3CB7"/>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AE7487"/>
    <w:rsid w:val="00B34F47"/>
    <w:rsid w:val="00B8732E"/>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B00F3"/>
    <w:rsid w:val="00DC227C"/>
    <w:rsid w:val="00DE65C9"/>
    <w:rsid w:val="00DF352C"/>
    <w:rsid w:val="00E053ED"/>
    <w:rsid w:val="00EB0D76"/>
    <w:rsid w:val="00F2719F"/>
    <w:rsid w:val="00F56D2C"/>
    <w:rsid w:val="00FA315A"/>
    <w:rsid w:val="00FC1795"/>
    <w:rsid w:val="00FC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 w:type="paragraph" w:styleId="ae">
    <w:name w:val="No Spacing"/>
    <w:qFormat/>
    <w:rsid w:val="00334B2B"/>
    <w:pPr>
      <w:widowControl w:val="0"/>
      <w:suppressAutoHyphens/>
      <w:spacing w:after="0" w:line="240" w:lineRule="auto"/>
    </w:pPr>
    <w:rPr>
      <w:rFonts w:ascii="Arial" w:eastAsia="Arial Unicode MS" w:hAnsi="Arial" w:cs="Calibri"/>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 w:type="paragraph" w:styleId="ae">
    <w:name w:val="No Spacing"/>
    <w:qFormat/>
    <w:rsid w:val="00334B2B"/>
    <w:pPr>
      <w:widowControl w:val="0"/>
      <w:suppressAutoHyphens/>
      <w:spacing w:after="0" w:line="240" w:lineRule="auto"/>
    </w:pPr>
    <w:rPr>
      <w:rFonts w:ascii="Arial" w:eastAsia="Arial Unicode MS" w:hAnsi="Arial" w:cs="Calibri"/>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780B-CF90-48D4-BDEB-A02E3FBA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54</cp:revision>
  <dcterms:created xsi:type="dcterms:W3CDTF">2018-02-13T08:34:00Z</dcterms:created>
  <dcterms:modified xsi:type="dcterms:W3CDTF">2018-05-24T14:07:00Z</dcterms:modified>
</cp:coreProperties>
</file>