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E5AC4" w:rsidRPr="000E6B8C" w:rsidTr="004E1573">
        <w:trPr>
          <w:trHeight w:val="70"/>
        </w:trPr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C4" w:rsidRPr="000E6B8C" w:rsidRDefault="00AE5AC4" w:rsidP="004E1573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6B8C">
              <w:rPr>
                <w:b/>
                <w:bCs/>
                <w:color w:val="000000"/>
                <w:sz w:val="24"/>
                <w:szCs w:val="24"/>
              </w:rPr>
              <w:t>Информация об электронном аукционе</w:t>
            </w:r>
          </w:p>
        </w:tc>
      </w:tr>
      <w:tr w:rsidR="00AE5AC4" w:rsidRPr="000E6B8C" w:rsidTr="004E1573"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C4" w:rsidRPr="000E6B8C" w:rsidRDefault="00AE5AC4" w:rsidP="004E15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  <w:p w:rsidR="00AE5AC4" w:rsidRPr="00B439D0" w:rsidRDefault="00AE5AC4" w:rsidP="004E15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B439D0">
              <w:rPr>
                <w:b/>
                <w:bCs/>
                <w:color w:val="000000"/>
              </w:rPr>
              <w:t>Наименование и описание объекта закупки и условия контракта:</w:t>
            </w:r>
          </w:p>
          <w:p w:rsidR="00AE5AC4" w:rsidRPr="00B439D0" w:rsidRDefault="00AE5AC4" w:rsidP="004E1573">
            <w:pPr>
              <w:spacing w:line="240" w:lineRule="auto"/>
              <w:jc w:val="both"/>
            </w:pPr>
            <w:r w:rsidRPr="00B439D0">
              <w:t xml:space="preserve">Специальные средства при нарушениях функций выделения – мочеприемники (далее – ТСР) для лиц, страдающих нарушениями функции выделения, по медицинским показаниям. </w:t>
            </w:r>
          </w:p>
          <w:p w:rsidR="00AE5AC4" w:rsidRPr="00B439D0" w:rsidRDefault="00AE5AC4" w:rsidP="004E1573">
            <w:pPr>
              <w:spacing w:line="240" w:lineRule="auto"/>
              <w:jc w:val="both"/>
            </w:pPr>
            <w:r w:rsidRPr="00B439D0">
              <w:t xml:space="preserve">Общее количество поставляемого товара – </w:t>
            </w:r>
            <w:r>
              <w:rPr>
                <w:b/>
                <w:bCs/>
              </w:rPr>
              <w:t>40 500</w:t>
            </w:r>
            <w:r w:rsidRPr="00B439D0">
              <w:t xml:space="preserve"> штук.</w:t>
            </w:r>
          </w:p>
          <w:p w:rsidR="00AE5AC4" w:rsidRPr="00814E75" w:rsidRDefault="00AE5AC4" w:rsidP="004E1573">
            <w:pPr>
              <w:suppressAutoHyphens/>
              <w:spacing w:line="240" w:lineRule="auto"/>
              <w:jc w:val="both"/>
              <w:rPr>
                <w:sz w:val="10"/>
                <w:szCs w:val="10"/>
              </w:rPr>
            </w:pPr>
          </w:p>
          <w:p w:rsidR="00AE5AC4" w:rsidRPr="00B439D0" w:rsidRDefault="00AE5AC4" w:rsidP="004E1573">
            <w:pPr>
              <w:spacing w:line="240" w:lineRule="auto"/>
              <w:jc w:val="both"/>
              <w:rPr>
                <w:b/>
                <w:bCs/>
              </w:rPr>
            </w:pPr>
            <w:r w:rsidRPr="00B439D0">
              <w:rPr>
                <w:b/>
                <w:bCs/>
              </w:rPr>
              <w:t xml:space="preserve">Мочеприемник ножной (мешок для сбора мочи), дневной, </w:t>
            </w:r>
            <w:r>
              <w:rPr>
                <w:b/>
                <w:bCs/>
              </w:rPr>
              <w:t>20 500</w:t>
            </w:r>
            <w:r w:rsidRPr="00B439D0">
              <w:rPr>
                <w:b/>
                <w:bCs/>
              </w:rPr>
              <w:t xml:space="preserve"> штук.</w:t>
            </w:r>
          </w:p>
          <w:p w:rsidR="00AE5AC4" w:rsidRPr="00B439D0" w:rsidRDefault="00AE5AC4" w:rsidP="004E1573">
            <w:pPr>
              <w:spacing w:line="240" w:lineRule="auto"/>
              <w:jc w:val="both"/>
            </w:pPr>
            <w:r w:rsidRPr="00B439D0">
              <w:t xml:space="preserve">Мочеприемник ножной: изготовлен из прозрачного не пропускающего запах полиэтилена высокой прочности. </w:t>
            </w:r>
            <w:proofErr w:type="gramStart"/>
            <w:r w:rsidRPr="00B439D0">
              <w:t xml:space="preserve">Объемом не менее 500 мл и не более 800 мл., с соединительной дренажной  трубкой длиной не менее 50 см и не более 90 см с возможностью укорочения,  защищенной от перегибания, с переходником для соединения с </w:t>
            </w:r>
            <w:proofErr w:type="spellStart"/>
            <w:r w:rsidRPr="00B439D0">
              <w:t>уропрезервативом</w:t>
            </w:r>
            <w:proofErr w:type="spellEnd"/>
            <w:r w:rsidRPr="00B439D0">
              <w:t xml:space="preserve"> и катетером,  наличие </w:t>
            </w:r>
            <w:proofErr w:type="spellStart"/>
            <w:r w:rsidRPr="00B439D0">
              <w:t>антивозвратного</w:t>
            </w:r>
            <w:proofErr w:type="spellEnd"/>
            <w:r w:rsidRPr="00B439D0">
              <w:t xml:space="preserve"> клапана обратного тока, предотвращающего рефлюкс мочи, сливной кран для слива содержимого мочеприёмника по мере его наполнения.</w:t>
            </w:r>
            <w:proofErr w:type="gramEnd"/>
            <w:r w:rsidRPr="00B439D0">
              <w:t xml:space="preserve">           В стерильной упаковке.</w:t>
            </w:r>
          </w:p>
          <w:p w:rsidR="00AE5AC4" w:rsidRPr="00814E75" w:rsidRDefault="00AE5AC4" w:rsidP="004E1573">
            <w:pPr>
              <w:suppressAutoHyphens/>
              <w:spacing w:line="240" w:lineRule="auto"/>
              <w:jc w:val="both"/>
              <w:rPr>
                <w:sz w:val="10"/>
                <w:szCs w:val="10"/>
              </w:rPr>
            </w:pPr>
          </w:p>
          <w:p w:rsidR="00AE5AC4" w:rsidRPr="00B439D0" w:rsidRDefault="00AE5AC4" w:rsidP="004E1573">
            <w:pPr>
              <w:spacing w:line="240" w:lineRule="auto"/>
              <w:jc w:val="both"/>
              <w:rPr>
                <w:b/>
                <w:bCs/>
              </w:rPr>
            </w:pPr>
            <w:r w:rsidRPr="00B439D0">
              <w:rPr>
                <w:b/>
                <w:bCs/>
              </w:rPr>
              <w:t xml:space="preserve">Мочеприемник прикроватный (мешок для сбора мочи), ночной, </w:t>
            </w:r>
            <w:r>
              <w:rPr>
                <w:b/>
                <w:bCs/>
              </w:rPr>
              <w:t>20</w:t>
            </w:r>
            <w:r w:rsidRPr="00B439D0">
              <w:rPr>
                <w:b/>
                <w:bCs/>
              </w:rPr>
              <w:t xml:space="preserve"> 000 штук.</w:t>
            </w:r>
          </w:p>
          <w:p w:rsidR="00AE5AC4" w:rsidRPr="00B439D0" w:rsidRDefault="00AE5AC4" w:rsidP="004E1573">
            <w:pPr>
              <w:spacing w:line="240" w:lineRule="auto"/>
              <w:jc w:val="both"/>
            </w:pPr>
            <w:r w:rsidRPr="00B439D0">
              <w:t xml:space="preserve">Мочеприемник ночной (прикроватный): изготовлен из прозрачного не пропускающего запах полиэтилена высокой прочности. Объемом не менее 1500 мл, с соединительной дренажной  трубкой длиной  не менее 90 см и не более 100 см, с возможностью укорочения, с переходником для соединения с </w:t>
            </w:r>
            <w:proofErr w:type="spellStart"/>
            <w:r w:rsidRPr="00B439D0">
              <w:t>уропрезервативом</w:t>
            </w:r>
            <w:proofErr w:type="spellEnd"/>
            <w:r w:rsidRPr="00B439D0">
              <w:t xml:space="preserve"> и катетером,  наличие  </w:t>
            </w:r>
            <w:proofErr w:type="spellStart"/>
            <w:r w:rsidRPr="00B439D0">
              <w:t>антивозвратного</w:t>
            </w:r>
            <w:proofErr w:type="spellEnd"/>
            <w:r w:rsidRPr="00B439D0">
              <w:t xml:space="preserve"> клапана обратного тока, предотвращающего рефлюкс мочи, сливной кран для слива содержимого мочеприемника по мере его наполнения. В стерильной упаковке.</w:t>
            </w:r>
          </w:p>
          <w:p w:rsidR="00AE5AC4" w:rsidRPr="00814E75" w:rsidRDefault="00AE5AC4" w:rsidP="004E1573">
            <w:pPr>
              <w:suppressAutoHyphens/>
              <w:spacing w:line="240" w:lineRule="auto"/>
              <w:jc w:val="both"/>
              <w:rPr>
                <w:sz w:val="10"/>
                <w:szCs w:val="10"/>
              </w:rPr>
            </w:pP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B439D0">
              <w:rPr>
                <w:b/>
                <w:color w:val="000000"/>
              </w:rPr>
              <w:t>Место поставки: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Место поставки – определяется Получателем: по месту жительства Получателя или в пункте выдачи, организованном Поставщиком в населенном пункте по месту жительства Получателя после получения именного «Направления» (письменного решения Заказчика, выдаваемого Получателю) или реестра Получателей, сформированного Заказчиком и переданного П</w:t>
            </w:r>
            <w:r w:rsidRPr="00B439D0">
              <w:t>о</w:t>
            </w:r>
            <w:r w:rsidRPr="00B439D0">
              <w:t xml:space="preserve">ставщику (его представителю). 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B439D0">
              <w:rPr>
                <w:b/>
                <w:color w:val="000000"/>
              </w:rPr>
              <w:t>Срок поставки</w:t>
            </w:r>
            <w:r w:rsidRPr="00B439D0">
              <w:rPr>
                <w:color w:val="000000"/>
              </w:rPr>
              <w:t>:</w:t>
            </w:r>
          </w:p>
          <w:p w:rsidR="00AE5AC4" w:rsidRPr="00B439D0" w:rsidRDefault="00AE5AC4" w:rsidP="004E157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B439D0">
              <w:rPr>
                <w:color w:val="000000"/>
              </w:rPr>
              <w:t xml:space="preserve">- с момента заключения государственного контракта по </w:t>
            </w:r>
            <w:r w:rsidRPr="00B439D0">
              <w:rPr>
                <w:b/>
                <w:color w:val="000000"/>
              </w:rPr>
              <w:t>10 декабря 2018</w:t>
            </w:r>
            <w:r w:rsidRPr="00B439D0">
              <w:rPr>
                <w:color w:val="000000"/>
              </w:rPr>
              <w:t xml:space="preserve"> года;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B439D0">
              <w:rPr>
                <w:color w:val="000000"/>
              </w:rPr>
              <w:t>- в течение 25 (двадцати пяти) дней с момента предоставления Получателем именного Направления, выданного Заказчиком (письменного решения Заказчика, выдаваемого Получателю) или на основании реестра Получателей, сформированного Заказчиком и переданного П</w:t>
            </w:r>
            <w:r w:rsidRPr="00B439D0">
              <w:rPr>
                <w:color w:val="000000"/>
              </w:rPr>
              <w:t>о</w:t>
            </w:r>
            <w:r w:rsidRPr="00B439D0">
              <w:rPr>
                <w:color w:val="000000"/>
              </w:rPr>
              <w:t>ставщику (его представителю).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b/>
                <w:color w:val="000000"/>
              </w:rPr>
            </w:pPr>
            <w:r w:rsidRPr="00B439D0">
              <w:rPr>
                <w:b/>
                <w:color w:val="000000"/>
              </w:rPr>
              <w:t>Источник финансирования: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</w:rPr>
            </w:pPr>
            <w:r w:rsidRPr="00B439D0">
              <w:rPr>
                <w:color w:val="000000"/>
                <w:spacing w:val="-4"/>
              </w:rPr>
              <w:t>Средства бюджета Фонда социального страхования Российской Федерации в пределах бюджетных ассигнований, предусмотренных на обеспечение инвалидов (ветеранов) техническими средствами, включая изготовление и ремонт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(КБК 393 1003 0420239570 323 КОСГУ 262).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b/>
                <w:color w:val="000000"/>
              </w:rPr>
            </w:pPr>
            <w:r w:rsidRPr="00B439D0">
              <w:rPr>
                <w:b/>
                <w:color w:val="000000"/>
              </w:rPr>
              <w:t>Порядок оплаты (расчетов):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  <w:spacing w:val="-4"/>
              </w:rPr>
            </w:pPr>
            <w:proofErr w:type="gramStart"/>
            <w:r w:rsidRPr="00B439D0">
              <w:rPr>
                <w:color w:val="000000"/>
                <w:spacing w:val="-4"/>
              </w:rPr>
              <w:t>Оплата поставленного Поставщиком ТСР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(ветеранов) техническими средствами, включая изготовление и ремонт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цели, по мере поступления указанных денежных средств из федерального бюджета, безналичным</w:t>
            </w:r>
            <w:proofErr w:type="gramEnd"/>
            <w:r w:rsidRPr="00B439D0">
              <w:rPr>
                <w:color w:val="000000"/>
                <w:spacing w:val="-4"/>
              </w:rPr>
              <w:t xml:space="preserve"> расчетом, путем перечисления  денежных сре</w:t>
            </w:r>
            <w:proofErr w:type="gramStart"/>
            <w:r w:rsidRPr="00B439D0">
              <w:rPr>
                <w:color w:val="000000"/>
                <w:spacing w:val="-4"/>
              </w:rPr>
              <w:t>дств с р</w:t>
            </w:r>
            <w:proofErr w:type="gramEnd"/>
            <w:r w:rsidRPr="00B439D0">
              <w:rPr>
                <w:color w:val="000000"/>
                <w:spacing w:val="-4"/>
              </w:rPr>
              <w:t>асчётного счёта Заказчика на расчётный счёт Поставщика, в течение 15 (пятнадцати) рабочих дней с даты подписания заказчиком документа о приемке (Акта выполненных работ, оказанных услуг, поставки товара в пользу граждан в целях их социального обеспечения).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  <w:spacing w:val="-4"/>
              </w:rPr>
            </w:pPr>
            <w:r w:rsidRPr="00B439D0">
              <w:rPr>
                <w:color w:val="000000"/>
                <w:spacing w:val="-4"/>
              </w:rPr>
              <w:t>Поставщик представляет Заказчику надлежаще оформленную финансовую документацию (счет, счет-фактура, Акт выполненных работ, оказанных услуг, поставки товара в пользу граждан в целях их социального обеспечения, реестр Получателей, обеспеченных ТСР, акт приема-передачи, отрывной талон к Направлению) в течение 30 (тридцати) календарных дней с момента получения Поставщиком именного "Направления" или реестра Получателей.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  <w:spacing w:val="-4"/>
              </w:rPr>
            </w:pPr>
            <w:r w:rsidRPr="00B439D0">
              <w:rPr>
                <w:color w:val="000000"/>
                <w:spacing w:val="-4"/>
              </w:rPr>
              <w:t>Окончательные расчеты по настоящему государственному контракту осуществляется не позднее 31 декабря 2018 года.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color w:val="000000"/>
                <w:spacing w:val="-4"/>
              </w:rPr>
            </w:pPr>
            <w:r w:rsidRPr="00B439D0">
              <w:rPr>
                <w:color w:val="000000"/>
                <w:spacing w:val="-4"/>
              </w:rPr>
              <w:lastRenderedPageBreak/>
              <w:t>В цену контракта входят расходы Поставщика по изготовлению, хранению, страхованию, доставке ТСР Получателю,  уплате всех пошлин, налогов, сборов и других обязательных платежей, а также все иные расходы Поставщика по надлежащему исполнению государственного контракта. Платежи осуществляются в российских рублях.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b/>
              </w:rPr>
            </w:pPr>
            <w:r w:rsidRPr="00B439D0">
              <w:rPr>
                <w:color w:val="000000"/>
                <w:spacing w:val="-4"/>
              </w:rPr>
              <w:t>Заказчиком и Поставщиком осуществляется сверка взаиморасчетов с оформлением соответствующего Акта сверки. После проведения сверки, в случае обнаружения невыполненных об</w:t>
            </w:r>
            <w:r w:rsidRPr="00B439D0">
              <w:rPr>
                <w:color w:val="000000"/>
                <w:spacing w:val="-4"/>
              </w:rPr>
              <w:t>я</w:t>
            </w:r>
            <w:r w:rsidRPr="00B439D0">
              <w:rPr>
                <w:color w:val="000000"/>
                <w:spacing w:val="-4"/>
              </w:rPr>
              <w:t>зательств, сторона, у которой такие обязательства возникли, обязана в срок, оговоренный сторонами, исполнить своё обязательство по контракту. Факт выполнения сторонами контрактных обязательств оформляется двусторонним Итоговым актом сдачи-приёмки.</w:t>
            </w:r>
          </w:p>
          <w:p w:rsidR="00AE5AC4" w:rsidRPr="00B439D0" w:rsidRDefault="00AE5AC4" w:rsidP="004E1573">
            <w:pPr>
              <w:suppressAutoHyphens/>
              <w:spacing w:line="240" w:lineRule="auto"/>
              <w:ind w:left="-180" w:firstLine="180"/>
              <w:jc w:val="both"/>
              <w:rPr>
                <w:b/>
                <w:spacing w:val="-6"/>
              </w:rPr>
            </w:pPr>
            <w:r w:rsidRPr="00B439D0">
              <w:rPr>
                <w:b/>
                <w:spacing w:val="-6"/>
              </w:rPr>
              <w:t>Срок действия контракта:</w:t>
            </w:r>
          </w:p>
          <w:p w:rsidR="00AE5AC4" w:rsidRPr="00B439D0" w:rsidRDefault="00AE5AC4" w:rsidP="004E157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pacing w:val="-6"/>
              </w:rPr>
            </w:pPr>
            <w:r w:rsidRPr="00B439D0">
              <w:rPr>
                <w:color w:val="000000"/>
                <w:spacing w:val="-6"/>
              </w:rPr>
              <w:t>Контракт считается заключенным с момента его подписания сторонами и действует                        по 31 декабря 2018 года.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b/>
              </w:rPr>
            </w:pPr>
            <w:r w:rsidRPr="00B439D0">
              <w:rPr>
                <w:b/>
              </w:rPr>
              <w:t>Порядок (условия) осуществления приемки: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Поставщик обязан иметь в наличии весь объем товара, согласно реестрам Получателей, предоставленным Заказчиком, на складе временного хранения.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Поставщик, до выдачи товара Получателям, уведомляет Заказчика о готовности к выдаче ТСР Получателям и в обязательном порядке представляет Заказчику в течение </w:t>
            </w:r>
            <w:r w:rsidRPr="00B439D0">
              <w:rPr>
                <w:b/>
              </w:rPr>
              <w:t>5 (пяти) рабочих дней</w:t>
            </w:r>
            <w:r w:rsidRPr="00B439D0">
              <w:t xml:space="preserve"> с момента подписания контракта экземпляр (образец) товара для проверки его соответствия условия контракта, указанным в контракте. 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Заказчик информирует Поставщика (его представителя) о месте, времени проведения проверки товара, а также о количестве товара, представляемого на проверку. Проверка осуществляется Заказчиком в срок не позднее </w:t>
            </w:r>
            <w:r w:rsidRPr="00B439D0">
              <w:rPr>
                <w:b/>
              </w:rPr>
              <w:t>10 (десяти) рабочих дней</w:t>
            </w:r>
            <w:r w:rsidRPr="00B439D0">
              <w:t xml:space="preserve"> с момента получения от Поставщика экземпляра (образца) товара. 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  <w:rPr>
                <w:spacing w:val="-6"/>
              </w:rPr>
            </w:pPr>
            <w:r w:rsidRPr="00B439D0">
              <w:rPr>
                <w:spacing w:val="-6"/>
              </w:rPr>
              <w:t xml:space="preserve">Экспертиза поставленного товара может проводиться Заказчиком своими силами. В случае необходимости Заказчик вправе привлечь для проверки </w:t>
            </w:r>
            <w:proofErr w:type="gramStart"/>
            <w:r w:rsidRPr="00B439D0">
              <w:rPr>
                <w:spacing w:val="-6"/>
              </w:rPr>
              <w:t>качества товара компетентных представителей региональных общественных организаций инвалидов</w:t>
            </w:r>
            <w:proofErr w:type="gramEnd"/>
            <w:r w:rsidRPr="00B439D0">
              <w:rPr>
                <w:spacing w:val="-6"/>
              </w:rPr>
              <w:t xml:space="preserve"> или экспертов, экспертные организации.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 результатам проверки соответствия технических характеристик товара составляется акт о проведенной проверке соответствия товара условиям контракта.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Выдача товара Получателям до момента подписания акта о соответствии качества товара условиям контракта, Поставщиком не осуществляется.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Заказчик вправе проверять выполнение обязательств Поставщиком путем выборочного контроля товара, выдаваемого Получателям по месту их жительства на соответствие техническим характеристикам, указанным в контракте. 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Заказчик вправе контролировать выдачу ТСР путем визуального осмотра временных складов хранения товара и пунктов выдачи ТСР, организованных поставщиком.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Поставщик после получения реестров Получателей, сформированных Заказчиком (до начала поставки товара Получателям) в течение трех рабочих дней, направляет Заказчику копию графика поставки Получателям ТСР в электронном виде.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Поставщик согласует с Получателем место поставки ТСР, информирует Получателей о дате, времени поставки.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Поставщик ведет журнал телефонных переговоров с инвалидами, включенными в реестры Получателей ТСР (журнал содержит информацию о Получателе ТСР, о дате и времени телефонного разговора, выборе Получателями способа (места) доставки ТСР, планируемом времени и дате доставки ТСР, примечание). По требованию Заказчика Поставщик предоставляет Заказчику в рамках подтверждения исполнения контракта журнал телефонных п</w:t>
            </w:r>
            <w:r w:rsidRPr="00B439D0">
              <w:t>е</w:t>
            </w:r>
            <w:r w:rsidRPr="00B439D0">
              <w:t>реговоров.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При наличии технической возможности Поставщик ведет аудиозаписи телефонных переговоров с инвалидами по вопросам получения ТСР, и в случае спорных ситуаций по вопросам обеспечения инвалидов ТСР предоставляет Заказчику записи телефонных переговоров.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При передаче ТСР Поставщик должен распаковать их, привести в товарный вид, обучить, при необходимости, Получателя правилам использования ТСР, разъяснить Получателю условия и требования к их эксплуатации.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В случае отказа Получателя от приемки товара ненадлежащего качества Поставщик обязан произвести замену такого товара на товар надлежащего качества в течение </w:t>
            </w:r>
            <w:r w:rsidRPr="00B439D0">
              <w:rPr>
                <w:b/>
              </w:rPr>
              <w:t>10 (десяти) рабочих дней</w:t>
            </w:r>
            <w:r w:rsidRPr="00B439D0">
              <w:t xml:space="preserve"> с момента получения от Получателя или Заказчика уведомления с требованием замены товара.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Если при сдаче-приёмке ТСР будет выявлена недопоставка,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lastRenderedPageBreak/>
              <w:t>Передача (вручение) ТСР осуществляется Поставщиком на основании акта приема – передачи, подписанного Получателем либо его представителем, имеющим соответствующие полномочия, в трех экземплярах.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Выдача ТСР осуществляется Поставщиком при предъявлении Получателем документа, удостоверяющего личность, и действующей индивидуальной программы реабилитации или </w:t>
            </w:r>
            <w:proofErr w:type="spellStart"/>
            <w:r w:rsidRPr="00B439D0">
              <w:t>абилитации</w:t>
            </w:r>
            <w:proofErr w:type="spellEnd"/>
            <w:r w:rsidRPr="00B439D0">
              <w:t xml:space="preserve"> инвалида.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В случае вручения Поставщиком ТСР представителю Получателя, последним дополнительно предъявляется документ, удостоверяющий личность и документ, подтверждающий по</w:t>
            </w:r>
            <w:r w:rsidRPr="00B439D0">
              <w:t>л</w:t>
            </w:r>
            <w:r w:rsidRPr="00B439D0">
              <w:t>номочия.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proofErr w:type="gramStart"/>
            <w:r w:rsidRPr="00B439D0">
              <w:t xml:space="preserve">В случае отсутствия возможности выдать товар Получателю, в том числе в связи с истечением срока действия индивидуальной программы реабилитации или </w:t>
            </w:r>
            <w:proofErr w:type="spellStart"/>
            <w:r w:rsidRPr="00B439D0">
              <w:t>абилитации</w:t>
            </w:r>
            <w:proofErr w:type="spellEnd"/>
            <w:r w:rsidRPr="00B439D0">
              <w:t xml:space="preserve"> инвалида, отказом Получателя от получения товара, смертью Получателя или иными причинами, Поставщик не позднее дня следующего за датой доставки (датой окончания периода доставки) письменно информирует об этом Заказчика с приложением подтверждающих документов и материалов (например: детализация тел</w:t>
            </w:r>
            <w:r w:rsidRPr="00B439D0">
              <w:t>е</w:t>
            </w:r>
            <w:r w:rsidRPr="00B439D0">
              <w:t xml:space="preserve">фонных звонков, </w:t>
            </w:r>
            <w:proofErr w:type="spellStart"/>
            <w:r w:rsidRPr="00B439D0">
              <w:t>фотофайлы</w:t>
            </w:r>
            <w:proofErr w:type="spellEnd"/>
            <w:proofErr w:type="gramEnd"/>
            <w:r w:rsidRPr="00B439D0">
              <w:t>, видеозапись и др.).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Приемка поставленного товара осуществляется Заказчиком на основании Акта приема-передачи в срок, не превышающий </w:t>
            </w:r>
            <w:r w:rsidRPr="00B439D0">
              <w:rPr>
                <w:b/>
              </w:rPr>
              <w:t>10 рабочих дней</w:t>
            </w:r>
            <w:r w:rsidRPr="00B439D0">
              <w:t xml:space="preserve">, </w:t>
            </w:r>
            <w:proofErr w:type="gramStart"/>
            <w:r w:rsidRPr="00B439D0">
              <w:t>с даты получения</w:t>
            </w:r>
            <w:proofErr w:type="gramEnd"/>
            <w:r w:rsidRPr="00B439D0">
              <w:t xml:space="preserve"> Заказчиком в полном объеме надлежаще оформленных документов (Реестр Получателей, обеспеченных ТСР, Акт приема-передачи, отрывной талон к Направлению).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Результат приемки поставленного товара оформляется путем подписания Заказчиком предоставленного Поставщиком Акта выполненных работ, оказанных услуг, поставки товара в пользу граждан в целях их социального обеспечения в срок, не превышающий </w:t>
            </w:r>
            <w:r w:rsidRPr="00B439D0">
              <w:rPr>
                <w:b/>
              </w:rPr>
              <w:t>5 рабочих дней</w:t>
            </w:r>
            <w:r w:rsidRPr="00B439D0">
              <w:t xml:space="preserve"> на основании приемки поставленного товара.</w:t>
            </w:r>
          </w:p>
          <w:p w:rsidR="00AE5AC4" w:rsidRPr="00B439D0" w:rsidRDefault="00AE5AC4" w:rsidP="004E1573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both"/>
            </w:pPr>
            <w:r w:rsidRPr="00B439D0">
              <w:t xml:space="preserve">В случае </w:t>
            </w:r>
            <w:proofErr w:type="spellStart"/>
            <w:r w:rsidRPr="00B439D0">
              <w:t>неинформирования</w:t>
            </w:r>
            <w:proofErr w:type="spellEnd"/>
            <w:r w:rsidRPr="00B439D0">
              <w:t xml:space="preserve"> Заказчика о причинах невозможности выдачи товара Получателю, товар не считается поставленным.</w:t>
            </w:r>
          </w:p>
          <w:p w:rsidR="00AE5AC4" w:rsidRPr="00814E75" w:rsidRDefault="00AE5AC4" w:rsidP="004E1573">
            <w:pPr>
              <w:suppressAutoHyphens/>
              <w:spacing w:line="240" w:lineRule="auto"/>
              <w:jc w:val="both"/>
              <w:rPr>
                <w:sz w:val="10"/>
                <w:szCs w:val="10"/>
              </w:rPr>
            </w:pPr>
          </w:p>
          <w:p w:rsidR="00AE5AC4" w:rsidRPr="00B439D0" w:rsidRDefault="00AE5AC4" w:rsidP="004E1573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B439D0">
              <w:rPr>
                <w:b/>
              </w:rPr>
              <w:t>Гарантийные требования: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Остаточный срок хранения (срок годности) со дня выдачи ТСР Получателю должен составлять не менее 12 (двенадцать) месяцев.</w:t>
            </w:r>
          </w:p>
          <w:p w:rsidR="00AE5AC4" w:rsidRPr="00814E75" w:rsidRDefault="00AE5AC4" w:rsidP="004E1573">
            <w:pPr>
              <w:suppressAutoHyphens/>
              <w:spacing w:line="240" w:lineRule="auto"/>
              <w:jc w:val="both"/>
              <w:rPr>
                <w:sz w:val="10"/>
                <w:szCs w:val="10"/>
              </w:rPr>
            </w:pPr>
          </w:p>
          <w:p w:rsidR="00AE5AC4" w:rsidRPr="00B439D0" w:rsidRDefault="00AE5AC4" w:rsidP="004E1573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ind w:left="-24"/>
              <w:jc w:val="both"/>
              <w:rPr>
                <w:b/>
                <w:color w:val="000000"/>
              </w:rPr>
            </w:pPr>
            <w:r w:rsidRPr="00B439D0">
              <w:rPr>
                <w:b/>
                <w:color w:val="000000"/>
              </w:rPr>
              <w:t>Требования к качеству, техническим, функциональным характеристикам: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</w:t>
            </w:r>
            <w:r w:rsidRPr="00B439D0">
              <w:t>е</w:t>
            </w:r>
            <w:r w:rsidRPr="00B439D0">
              <w:t>ристики.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 xml:space="preserve">ТСР должны соответствовать требованиям стандартов серии ГОСТ ISO 10993-1-2011 изделия медицинские. "Оценка биологического действия медицинских изделий",                              </w:t>
            </w:r>
            <w:r w:rsidRPr="00B439D0">
              <w:rPr>
                <w:highlight w:val="cyan"/>
              </w:rPr>
              <w:t xml:space="preserve"> </w:t>
            </w:r>
            <w:r w:rsidRPr="00B439D0">
              <w:t xml:space="preserve">ГОСТ </w:t>
            </w:r>
            <w:r w:rsidRPr="00B439D0">
              <w:rPr>
                <w:lang w:val="en-US"/>
              </w:rPr>
              <w:t>ISO</w:t>
            </w:r>
            <w:r w:rsidRPr="00B439D0">
              <w:t xml:space="preserve"> 10993-10-2011 "Изделия медицинские. Оценка биологического действия медицинских изделий". </w:t>
            </w:r>
          </w:p>
          <w:p w:rsidR="00AE5AC4" w:rsidRPr="00B439D0" w:rsidRDefault="00AE5AC4" w:rsidP="004E1573">
            <w:pPr>
              <w:suppressAutoHyphens/>
              <w:spacing w:line="240" w:lineRule="auto"/>
              <w:jc w:val="both"/>
            </w:pPr>
            <w:r w:rsidRPr="00B439D0">
              <w:t>ТСР должны иметь документы, подтверждающие их качество, оформленные в соответствии с законодательством Российской Федер</w:t>
            </w:r>
            <w:r w:rsidRPr="00B439D0">
              <w:t>а</w:t>
            </w:r>
            <w:r w:rsidRPr="00B439D0">
              <w:t>ции.</w:t>
            </w:r>
          </w:p>
          <w:p w:rsidR="00AE5AC4" w:rsidRPr="00B439D0" w:rsidRDefault="00AE5AC4" w:rsidP="004E1573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AE5AC4" w:rsidRPr="00B439D0" w:rsidRDefault="00AE5AC4" w:rsidP="004E1573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ind w:left="-24"/>
              <w:jc w:val="both"/>
              <w:rPr>
                <w:b/>
              </w:rPr>
            </w:pPr>
            <w:r w:rsidRPr="00B439D0">
              <w:rPr>
                <w:b/>
              </w:rPr>
              <w:t>Требования к комплектности, маркировке, упаковке ТСР:</w:t>
            </w:r>
          </w:p>
          <w:p w:rsidR="00AE5AC4" w:rsidRPr="000E6B8C" w:rsidRDefault="00AE5AC4" w:rsidP="004E1573">
            <w:pPr>
              <w:widowControl/>
              <w:autoSpaceDE w:val="0"/>
              <w:autoSpaceDN w:val="0"/>
              <w:adjustRightInd w:val="0"/>
              <w:spacing w:line="240" w:lineRule="auto"/>
              <w:ind w:left="-23"/>
              <w:jc w:val="both"/>
              <w:rPr>
                <w:color w:val="FF0000"/>
                <w:sz w:val="8"/>
                <w:szCs w:val="8"/>
              </w:rPr>
            </w:pPr>
            <w:r w:rsidRPr="00B439D0">
              <w:t>Упаковка ТСР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</w:t>
            </w:r>
            <w:r w:rsidRPr="00B439D0">
              <w:t>а</w:t>
            </w:r>
            <w:r w:rsidRPr="00B439D0">
              <w:t>бот.</w:t>
            </w:r>
          </w:p>
        </w:tc>
      </w:tr>
    </w:tbl>
    <w:p w:rsidR="0064353A" w:rsidRDefault="0064353A">
      <w:bookmarkStart w:id="0" w:name="_GoBack"/>
      <w:bookmarkEnd w:id="0"/>
    </w:p>
    <w:sectPr w:rsidR="0064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D"/>
    <w:rsid w:val="0064353A"/>
    <w:rsid w:val="00A57D0D"/>
    <w:rsid w:val="00A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4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4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Исаев_ИБ</dc:creator>
  <cp:keywords/>
  <dc:description/>
  <cp:lastModifiedBy>Исаев_ИБ</cp:lastModifiedBy>
  <cp:revision>2</cp:revision>
  <dcterms:created xsi:type="dcterms:W3CDTF">2018-08-10T09:02:00Z</dcterms:created>
  <dcterms:modified xsi:type="dcterms:W3CDTF">2018-08-10T09:02:00Z</dcterms:modified>
</cp:coreProperties>
</file>