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22" w:rsidRDefault="00D56222" w:rsidP="00D56222">
      <w:pPr>
        <w:shd w:val="clear" w:color="auto" w:fill="FFFFFF"/>
        <w:spacing w:line="100" w:lineRule="atLeast"/>
        <w:ind w:left="15" w:hanging="15"/>
        <w:jc w:val="center"/>
        <w:rPr>
          <w:b/>
          <w:bCs/>
          <w:spacing w:val="-4"/>
          <w:shd w:val="clear" w:color="auto" w:fill="FFFFFF"/>
        </w:rPr>
      </w:pPr>
      <w:r>
        <w:rPr>
          <w:b/>
          <w:bCs/>
          <w:spacing w:val="-4"/>
          <w:shd w:val="clear" w:color="auto" w:fill="FFFFFF"/>
        </w:rPr>
        <w:t xml:space="preserve">Техническое задание </w:t>
      </w:r>
    </w:p>
    <w:p w:rsidR="00D56222" w:rsidRDefault="00D56222" w:rsidP="00D56222">
      <w:pPr>
        <w:jc w:val="center"/>
      </w:pPr>
    </w:p>
    <w:p w:rsidR="00D56222" w:rsidRPr="004170AF" w:rsidRDefault="00D56222" w:rsidP="00D56222">
      <w:pPr>
        <w:jc w:val="center"/>
        <w:rPr>
          <w:rFonts w:eastAsia="Times New Roman"/>
          <w:b/>
          <w:lang w:eastAsia="ru-RU"/>
        </w:rPr>
      </w:pPr>
      <w:r w:rsidRPr="004170AF">
        <w:rPr>
          <w:b/>
        </w:rPr>
        <w:t>на оказание услуг по техническому обслуживанию системы видеонаблюдения в 2018 г в помещениях государственного учреждения - регионального отделения Фонда социального страхования Российской Федерации по Республике Татарстан (для субъектов малого предпринимательства, социально ориентированных некоммерческих организаций)</w:t>
      </w:r>
    </w:p>
    <w:p w:rsidR="00D56222" w:rsidRDefault="00D56222" w:rsidP="00D56222">
      <w:pPr>
        <w:autoSpaceDE w:val="0"/>
        <w:ind w:firstLine="720"/>
        <w:jc w:val="both"/>
      </w:pPr>
    </w:p>
    <w:p w:rsidR="00D56222" w:rsidRDefault="00D56222" w:rsidP="00D56222">
      <w:pPr>
        <w:autoSpaceDE w:val="0"/>
        <w:ind w:firstLine="720"/>
        <w:jc w:val="both"/>
      </w:pPr>
      <w:r>
        <w:t>Техническое обслуживание (далее - ТО) системы видеонаблюдения представляет собой комплекс организационно-технических мероприятий планово-предупредительного характера по поддержанию системы видеонаблюдения в состоянии, соответствующем требованиям технической д</w:t>
      </w:r>
      <w:r>
        <w:t>о</w:t>
      </w:r>
      <w:r>
        <w:t>кументации на систему видеонаблюдения.</w:t>
      </w:r>
    </w:p>
    <w:p w:rsidR="00D56222" w:rsidRDefault="00D56222" w:rsidP="00D56222">
      <w:pPr>
        <w:autoSpaceDE w:val="0"/>
        <w:ind w:firstLine="720"/>
        <w:jc w:val="both"/>
      </w:pPr>
      <w:r>
        <w:t>Оказание услуг по ТО систем видеонаблюдения позволяет:</w:t>
      </w:r>
    </w:p>
    <w:p w:rsidR="00D56222" w:rsidRDefault="00D56222" w:rsidP="00D56222">
      <w:pPr>
        <w:autoSpaceDE w:val="0"/>
        <w:ind w:firstLine="720"/>
        <w:jc w:val="both"/>
      </w:pPr>
      <w:r>
        <w:t>- обеспечивать правильное функционирование системы видеонаблюдения;</w:t>
      </w:r>
    </w:p>
    <w:p w:rsidR="00D56222" w:rsidRDefault="00D56222" w:rsidP="00D56222">
      <w:pPr>
        <w:autoSpaceDE w:val="0"/>
        <w:ind w:firstLine="720"/>
        <w:jc w:val="both"/>
      </w:pPr>
      <w:r>
        <w:t>- контролировать техническое состояние системы видеонаблюдения и определять приго</w:t>
      </w:r>
      <w:r>
        <w:t>д</w:t>
      </w:r>
      <w:r>
        <w:t>ность к дальнейшей эксплуатации;</w:t>
      </w:r>
    </w:p>
    <w:p w:rsidR="00D56222" w:rsidRDefault="00D56222" w:rsidP="00D56222">
      <w:pPr>
        <w:autoSpaceDE w:val="0"/>
        <w:ind w:firstLine="720"/>
        <w:jc w:val="both"/>
      </w:pPr>
      <w:r>
        <w:t>- выявлять неисправности, уменьшать их количество;</w:t>
      </w:r>
    </w:p>
    <w:p w:rsidR="00D56222" w:rsidRDefault="00D56222" w:rsidP="00D56222">
      <w:pPr>
        <w:autoSpaceDE w:val="0"/>
        <w:ind w:firstLine="720"/>
        <w:jc w:val="both"/>
      </w:pPr>
      <w:r>
        <w:t>- ликвидировать или не допускать последствий воздействия неблагоприятных климатич</w:t>
      </w:r>
      <w:r>
        <w:t>е</w:t>
      </w:r>
      <w:r>
        <w:t>ских, производственных и других дестабилизирующих факторов.</w:t>
      </w:r>
    </w:p>
    <w:p w:rsidR="00D56222" w:rsidRDefault="00D56222" w:rsidP="00D56222">
      <w:pPr>
        <w:jc w:val="center"/>
      </w:pPr>
    </w:p>
    <w:p w:rsidR="00D56222" w:rsidRDefault="00D56222" w:rsidP="00D56222">
      <w:pPr>
        <w:jc w:val="center"/>
        <w:rPr>
          <w:rFonts w:eastAsia="Times New Roman"/>
        </w:rPr>
      </w:pPr>
      <w:r>
        <w:t xml:space="preserve">Перечень оборудования </w:t>
      </w:r>
      <w:r>
        <w:rPr>
          <w:rFonts w:eastAsia="Times New Roman"/>
        </w:rPr>
        <w:t>системы видеонаблюдения</w:t>
      </w:r>
    </w:p>
    <w:p w:rsidR="00D56222" w:rsidRDefault="00D56222" w:rsidP="00D56222">
      <w:pPr>
        <w:jc w:val="center"/>
      </w:pPr>
    </w:p>
    <w:tbl>
      <w:tblPr>
        <w:tblW w:w="9963" w:type="dxa"/>
        <w:tblInd w:w="15" w:type="dxa"/>
        <w:tblLayout w:type="fixed"/>
        <w:tblCellMar>
          <w:top w:w="55" w:type="dxa"/>
          <w:left w:w="55" w:type="dxa"/>
          <w:bottom w:w="55" w:type="dxa"/>
          <w:right w:w="55" w:type="dxa"/>
        </w:tblCellMar>
        <w:tblLook w:val="0000" w:firstRow="0" w:lastRow="0" w:firstColumn="0" w:lastColumn="0" w:noHBand="0" w:noVBand="0"/>
      </w:tblPr>
      <w:tblGrid>
        <w:gridCol w:w="823"/>
        <w:gridCol w:w="4260"/>
        <w:gridCol w:w="2949"/>
        <w:gridCol w:w="1931"/>
      </w:tblGrid>
      <w:tr w:rsidR="00D56222" w:rsidTr="00F24861">
        <w:tc>
          <w:tcPr>
            <w:tcW w:w="823" w:type="dxa"/>
            <w:tcBorders>
              <w:top w:val="single" w:sz="4" w:space="0" w:color="auto"/>
              <w:left w:val="single" w:sz="4" w:space="0" w:color="auto"/>
              <w:bottom w:val="single" w:sz="4" w:space="0" w:color="auto"/>
              <w:right w:val="single" w:sz="4" w:space="0" w:color="auto"/>
            </w:tcBorders>
            <w:shd w:val="clear" w:color="auto" w:fill="auto"/>
          </w:tcPr>
          <w:p w:rsidR="00D56222" w:rsidRDefault="00D56222" w:rsidP="00F24861">
            <w:pPr>
              <w:pStyle w:val="a7"/>
              <w:jc w:val="center"/>
            </w:pPr>
            <w:r>
              <w:t xml:space="preserve">№ </w:t>
            </w:r>
            <w:proofErr w:type="gramStart"/>
            <w:r>
              <w:t>п</w:t>
            </w:r>
            <w:proofErr w:type="gramEnd"/>
            <w:r>
              <w:t>/п</w:t>
            </w:r>
          </w:p>
        </w:tc>
        <w:tc>
          <w:tcPr>
            <w:tcW w:w="4260" w:type="dxa"/>
            <w:tcBorders>
              <w:top w:val="single" w:sz="4" w:space="0" w:color="auto"/>
              <w:left w:val="single" w:sz="4" w:space="0" w:color="auto"/>
              <w:bottom w:val="single" w:sz="4" w:space="0" w:color="auto"/>
              <w:right w:val="single" w:sz="4" w:space="0" w:color="auto"/>
            </w:tcBorders>
            <w:shd w:val="clear" w:color="auto" w:fill="auto"/>
          </w:tcPr>
          <w:p w:rsidR="00D56222" w:rsidRDefault="00D56222" w:rsidP="00F24861">
            <w:pPr>
              <w:pStyle w:val="a7"/>
              <w:jc w:val="center"/>
            </w:pPr>
            <w:r>
              <w:t>Наименование</w:t>
            </w:r>
          </w:p>
        </w:tc>
        <w:tc>
          <w:tcPr>
            <w:tcW w:w="2949" w:type="dxa"/>
            <w:tcBorders>
              <w:top w:val="single" w:sz="4" w:space="0" w:color="auto"/>
              <w:left w:val="single" w:sz="4" w:space="0" w:color="auto"/>
              <w:bottom w:val="single" w:sz="4" w:space="0" w:color="auto"/>
              <w:right w:val="single" w:sz="4" w:space="0" w:color="auto"/>
            </w:tcBorders>
          </w:tcPr>
          <w:p w:rsidR="00D56222" w:rsidRDefault="00D56222" w:rsidP="00F24861">
            <w:pPr>
              <w:pStyle w:val="a7"/>
              <w:jc w:val="center"/>
            </w:pPr>
            <w:r>
              <w:t>Тип, марка</w:t>
            </w:r>
          </w:p>
        </w:tc>
        <w:tc>
          <w:tcPr>
            <w:tcW w:w="1931" w:type="dxa"/>
            <w:tcBorders>
              <w:top w:val="single" w:sz="4" w:space="0" w:color="auto"/>
              <w:left w:val="single" w:sz="4" w:space="0" w:color="auto"/>
              <w:bottom w:val="single" w:sz="4" w:space="0" w:color="auto"/>
              <w:right w:val="single" w:sz="4" w:space="0" w:color="auto"/>
            </w:tcBorders>
          </w:tcPr>
          <w:p w:rsidR="00D56222" w:rsidRDefault="00D56222" w:rsidP="00F24861">
            <w:pPr>
              <w:pStyle w:val="a7"/>
              <w:jc w:val="center"/>
            </w:pPr>
            <w:r>
              <w:t>Кол-во, шт.</w:t>
            </w:r>
          </w:p>
        </w:tc>
      </w:tr>
      <w:tr w:rsidR="00D56222" w:rsidTr="00F24861">
        <w:tc>
          <w:tcPr>
            <w:tcW w:w="823" w:type="dxa"/>
            <w:tcBorders>
              <w:top w:val="single" w:sz="4" w:space="0" w:color="auto"/>
              <w:left w:val="single" w:sz="1" w:space="0" w:color="000000"/>
              <w:bottom w:val="single" w:sz="1" w:space="0" w:color="000000"/>
            </w:tcBorders>
            <w:shd w:val="clear" w:color="auto" w:fill="auto"/>
          </w:tcPr>
          <w:p w:rsidR="00D56222" w:rsidRDefault="00D56222" w:rsidP="00F24861">
            <w:pPr>
              <w:pStyle w:val="a7"/>
              <w:jc w:val="center"/>
            </w:pPr>
            <w:r>
              <w:t>1</w:t>
            </w:r>
          </w:p>
        </w:tc>
        <w:tc>
          <w:tcPr>
            <w:tcW w:w="4260" w:type="dxa"/>
            <w:tcBorders>
              <w:top w:val="single" w:sz="4" w:space="0" w:color="auto"/>
              <w:left w:val="single" w:sz="1" w:space="0" w:color="000000"/>
              <w:bottom w:val="single" w:sz="1" w:space="0" w:color="000000"/>
            </w:tcBorders>
            <w:shd w:val="clear" w:color="auto" w:fill="auto"/>
          </w:tcPr>
          <w:p w:rsidR="00D56222" w:rsidRDefault="00D56222" w:rsidP="00F24861">
            <w:pPr>
              <w:jc w:val="both"/>
            </w:pPr>
            <w:r>
              <w:t>Купольная камера</w:t>
            </w:r>
          </w:p>
        </w:tc>
        <w:tc>
          <w:tcPr>
            <w:tcW w:w="2949" w:type="dxa"/>
            <w:tcBorders>
              <w:top w:val="single" w:sz="4" w:space="0" w:color="auto"/>
              <w:left w:val="single" w:sz="1" w:space="0" w:color="000000"/>
              <w:bottom w:val="single" w:sz="1" w:space="0" w:color="000000"/>
              <w:right w:val="single" w:sz="1" w:space="0" w:color="000000"/>
            </w:tcBorders>
          </w:tcPr>
          <w:p w:rsidR="00D56222" w:rsidRPr="009E5962" w:rsidRDefault="00D56222" w:rsidP="00F24861">
            <w:pPr>
              <w:pStyle w:val="a7"/>
              <w:jc w:val="center"/>
              <w:rPr>
                <w:lang w:val="en-US"/>
              </w:rPr>
            </w:pPr>
            <w:r>
              <w:rPr>
                <w:lang w:val="en-US"/>
              </w:rPr>
              <w:t>DT-IP2000VF-12P</w:t>
            </w:r>
          </w:p>
        </w:tc>
        <w:tc>
          <w:tcPr>
            <w:tcW w:w="1931" w:type="dxa"/>
            <w:tcBorders>
              <w:top w:val="single" w:sz="4" w:space="0" w:color="auto"/>
              <w:left w:val="single" w:sz="1" w:space="0" w:color="000000"/>
              <w:bottom w:val="single" w:sz="1" w:space="0" w:color="000000"/>
              <w:right w:val="single" w:sz="1" w:space="0" w:color="000000"/>
            </w:tcBorders>
          </w:tcPr>
          <w:p w:rsidR="00D56222" w:rsidRPr="00564D87" w:rsidRDefault="00D56222" w:rsidP="00F24861">
            <w:pPr>
              <w:pStyle w:val="a7"/>
              <w:jc w:val="center"/>
              <w:rPr>
                <w:lang w:val="en-US"/>
              </w:rPr>
            </w:pPr>
            <w:r>
              <w:rPr>
                <w:lang w:val="en-US"/>
              </w:rPr>
              <w:t>99</w:t>
            </w:r>
          </w:p>
        </w:tc>
      </w:tr>
      <w:tr w:rsidR="00D56222" w:rsidTr="00F24861">
        <w:tc>
          <w:tcPr>
            <w:tcW w:w="823" w:type="dxa"/>
            <w:tcBorders>
              <w:left w:val="single" w:sz="1" w:space="0" w:color="000000"/>
              <w:bottom w:val="single" w:sz="1" w:space="0" w:color="000000"/>
            </w:tcBorders>
            <w:shd w:val="clear" w:color="auto" w:fill="auto"/>
          </w:tcPr>
          <w:p w:rsidR="00D56222" w:rsidRDefault="00D56222" w:rsidP="00F24861">
            <w:pPr>
              <w:pStyle w:val="a7"/>
              <w:jc w:val="center"/>
            </w:pPr>
            <w:r>
              <w:t>2</w:t>
            </w:r>
          </w:p>
        </w:tc>
        <w:tc>
          <w:tcPr>
            <w:tcW w:w="4260" w:type="dxa"/>
            <w:tcBorders>
              <w:left w:val="single" w:sz="1" w:space="0" w:color="000000"/>
              <w:bottom w:val="single" w:sz="1" w:space="0" w:color="000000"/>
            </w:tcBorders>
            <w:shd w:val="clear" w:color="auto" w:fill="auto"/>
          </w:tcPr>
          <w:p w:rsidR="00D56222" w:rsidRDefault="00D56222" w:rsidP="00F24861">
            <w:pPr>
              <w:jc w:val="both"/>
            </w:pPr>
            <w:r>
              <w:t>Уличная камера</w:t>
            </w:r>
          </w:p>
        </w:tc>
        <w:tc>
          <w:tcPr>
            <w:tcW w:w="2949" w:type="dxa"/>
            <w:tcBorders>
              <w:left w:val="single" w:sz="1" w:space="0" w:color="000000"/>
              <w:bottom w:val="single" w:sz="1" w:space="0" w:color="000000"/>
              <w:right w:val="single" w:sz="1" w:space="0" w:color="000000"/>
            </w:tcBorders>
          </w:tcPr>
          <w:p w:rsidR="00D56222" w:rsidRPr="00564D87" w:rsidRDefault="00D56222" w:rsidP="00F24861">
            <w:pPr>
              <w:pStyle w:val="a7"/>
              <w:jc w:val="center"/>
              <w:rPr>
                <w:lang w:val="en-US"/>
              </w:rPr>
            </w:pPr>
            <w:r>
              <w:rPr>
                <w:lang w:val="en-US"/>
              </w:rPr>
              <w:t>PN20-V2-B3/61RA-IP</w:t>
            </w:r>
          </w:p>
        </w:tc>
        <w:tc>
          <w:tcPr>
            <w:tcW w:w="1931" w:type="dxa"/>
            <w:tcBorders>
              <w:left w:val="single" w:sz="1" w:space="0" w:color="000000"/>
              <w:bottom w:val="single" w:sz="1" w:space="0" w:color="000000"/>
              <w:right w:val="single" w:sz="1" w:space="0" w:color="000000"/>
            </w:tcBorders>
          </w:tcPr>
          <w:p w:rsidR="00D56222" w:rsidRDefault="00D56222" w:rsidP="00F24861">
            <w:pPr>
              <w:pStyle w:val="a7"/>
              <w:jc w:val="center"/>
            </w:pPr>
            <w:r>
              <w:t>8</w:t>
            </w:r>
          </w:p>
        </w:tc>
      </w:tr>
      <w:tr w:rsidR="00D56222" w:rsidTr="00F24861">
        <w:tc>
          <w:tcPr>
            <w:tcW w:w="823" w:type="dxa"/>
            <w:tcBorders>
              <w:left w:val="single" w:sz="1" w:space="0" w:color="000000"/>
              <w:bottom w:val="single" w:sz="1" w:space="0" w:color="000000"/>
            </w:tcBorders>
            <w:shd w:val="clear" w:color="auto" w:fill="auto"/>
          </w:tcPr>
          <w:p w:rsidR="00D56222" w:rsidRDefault="00D56222" w:rsidP="00F24861">
            <w:pPr>
              <w:pStyle w:val="a7"/>
              <w:jc w:val="center"/>
            </w:pPr>
            <w:r>
              <w:t>3</w:t>
            </w:r>
          </w:p>
        </w:tc>
        <w:tc>
          <w:tcPr>
            <w:tcW w:w="4260" w:type="dxa"/>
            <w:tcBorders>
              <w:left w:val="single" w:sz="1" w:space="0" w:color="000000"/>
              <w:bottom w:val="single" w:sz="1" w:space="0" w:color="000000"/>
            </w:tcBorders>
            <w:shd w:val="clear" w:color="auto" w:fill="auto"/>
          </w:tcPr>
          <w:p w:rsidR="00D56222" w:rsidRPr="00D716E9" w:rsidRDefault="00D56222" w:rsidP="00F24861">
            <w:pPr>
              <w:jc w:val="both"/>
            </w:pPr>
            <w:r>
              <w:t>Сервер видеонаблюдения</w:t>
            </w:r>
          </w:p>
        </w:tc>
        <w:tc>
          <w:tcPr>
            <w:tcW w:w="2949" w:type="dxa"/>
            <w:tcBorders>
              <w:left w:val="single" w:sz="1" w:space="0" w:color="000000"/>
              <w:bottom w:val="single" w:sz="1" w:space="0" w:color="000000"/>
              <w:right w:val="single" w:sz="1" w:space="0" w:color="000000"/>
            </w:tcBorders>
          </w:tcPr>
          <w:p w:rsidR="00D56222" w:rsidRPr="00D716E9" w:rsidRDefault="00D56222" w:rsidP="00F24861">
            <w:pPr>
              <w:pStyle w:val="a7"/>
              <w:jc w:val="center"/>
              <w:rPr>
                <w:lang w:val="en-US"/>
              </w:rPr>
            </w:pPr>
            <w:proofErr w:type="spellStart"/>
            <w:r>
              <w:rPr>
                <w:lang w:val="en-US"/>
              </w:rPr>
              <w:t>TrassirUltraStation</w:t>
            </w:r>
            <w:proofErr w:type="spellEnd"/>
            <w:r>
              <w:rPr>
                <w:lang w:val="en-US"/>
              </w:rPr>
              <w:t xml:space="preserve"> 24/4</w:t>
            </w:r>
          </w:p>
        </w:tc>
        <w:tc>
          <w:tcPr>
            <w:tcW w:w="1931" w:type="dxa"/>
            <w:tcBorders>
              <w:left w:val="single" w:sz="1" w:space="0" w:color="000000"/>
              <w:bottom w:val="single" w:sz="1" w:space="0" w:color="000000"/>
              <w:right w:val="single" w:sz="1" w:space="0" w:color="000000"/>
            </w:tcBorders>
          </w:tcPr>
          <w:p w:rsidR="00D56222" w:rsidRDefault="00D56222" w:rsidP="00F24861">
            <w:pPr>
              <w:pStyle w:val="a7"/>
              <w:jc w:val="center"/>
            </w:pPr>
            <w:r>
              <w:t>1</w:t>
            </w:r>
          </w:p>
        </w:tc>
      </w:tr>
      <w:tr w:rsidR="00D56222" w:rsidTr="00F24861">
        <w:tc>
          <w:tcPr>
            <w:tcW w:w="823" w:type="dxa"/>
            <w:tcBorders>
              <w:left w:val="single" w:sz="1" w:space="0" w:color="000000"/>
              <w:bottom w:val="single" w:sz="1" w:space="0" w:color="000000"/>
            </w:tcBorders>
            <w:shd w:val="clear" w:color="auto" w:fill="auto"/>
          </w:tcPr>
          <w:p w:rsidR="00D56222" w:rsidRDefault="00D56222" w:rsidP="00F24861">
            <w:pPr>
              <w:pStyle w:val="a7"/>
              <w:jc w:val="center"/>
            </w:pPr>
            <w:r>
              <w:t>4</w:t>
            </w:r>
          </w:p>
        </w:tc>
        <w:tc>
          <w:tcPr>
            <w:tcW w:w="4260" w:type="dxa"/>
            <w:tcBorders>
              <w:left w:val="single" w:sz="1" w:space="0" w:color="000000"/>
              <w:bottom w:val="single" w:sz="1" w:space="0" w:color="000000"/>
            </w:tcBorders>
            <w:shd w:val="clear" w:color="auto" w:fill="auto"/>
          </w:tcPr>
          <w:p w:rsidR="00D56222" w:rsidRDefault="00D56222" w:rsidP="00F24861">
            <w:pPr>
              <w:jc w:val="both"/>
            </w:pPr>
            <w:r>
              <w:t>Коммутатор сетевой</w:t>
            </w:r>
          </w:p>
        </w:tc>
        <w:tc>
          <w:tcPr>
            <w:tcW w:w="2949" w:type="dxa"/>
            <w:tcBorders>
              <w:left w:val="single" w:sz="1" w:space="0" w:color="000000"/>
              <w:bottom w:val="single" w:sz="1" w:space="0" w:color="000000"/>
              <w:right w:val="single" w:sz="1" w:space="0" w:color="000000"/>
            </w:tcBorders>
          </w:tcPr>
          <w:p w:rsidR="00D56222" w:rsidRPr="00D716E9" w:rsidRDefault="00D56222" w:rsidP="00F24861">
            <w:pPr>
              <w:pStyle w:val="a7"/>
              <w:jc w:val="center"/>
            </w:pPr>
            <w:r>
              <w:rPr>
                <w:lang w:val="en-US"/>
              </w:rPr>
              <w:t>GL-SW-F003-16P</w:t>
            </w:r>
          </w:p>
        </w:tc>
        <w:tc>
          <w:tcPr>
            <w:tcW w:w="1931" w:type="dxa"/>
            <w:tcBorders>
              <w:left w:val="single" w:sz="1" w:space="0" w:color="000000"/>
              <w:bottom w:val="single" w:sz="1" w:space="0" w:color="000000"/>
              <w:right w:val="single" w:sz="1" w:space="0" w:color="000000"/>
            </w:tcBorders>
          </w:tcPr>
          <w:p w:rsidR="00D56222" w:rsidRDefault="00D56222" w:rsidP="00F24861">
            <w:pPr>
              <w:pStyle w:val="a7"/>
              <w:jc w:val="center"/>
            </w:pPr>
            <w:r>
              <w:t>5</w:t>
            </w:r>
          </w:p>
        </w:tc>
      </w:tr>
    </w:tbl>
    <w:p w:rsidR="00D56222" w:rsidRDefault="00D56222" w:rsidP="00D56222"/>
    <w:p w:rsidR="00D56222" w:rsidRDefault="00D56222" w:rsidP="00D56222"/>
    <w:tbl>
      <w:tblPr>
        <w:tblW w:w="9923" w:type="dxa"/>
        <w:tblInd w:w="108" w:type="dxa"/>
        <w:tblLayout w:type="fixed"/>
        <w:tblLook w:val="0000" w:firstRow="0" w:lastRow="0" w:firstColumn="0" w:lastColumn="0" w:noHBand="0" w:noVBand="0"/>
      </w:tblPr>
      <w:tblGrid>
        <w:gridCol w:w="6521"/>
        <w:gridCol w:w="3402"/>
      </w:tblGrid>
      <w:tr w:rsidR="00D56222" w:rsidTr="00F24861">
        <w:trPr>
          <w:trHeight w:val="143"/>
        </w:trPr>
        <w:tc>
          <w:tcPr>
            <w:tcW w:w="6521" w:type="dxa"/>
            <w:tcBorders>
              <w:top w:val="single" w:sz="4" w:space="0" w:color="000000"/>
              <w:left w:val="single" w:sz="4" w:space="0" w:color="000000"/>
              <w:bottom w:val="single" w:sz="4" w:space="0" w:color="000000"/>
            </w:tcBorders>
            <w:shd w:val="clear" w:color="auto" w:fill="auto"/>
            <w:vAlign w:val="center"/>
          </w:tcPr>
          <w:p w:rsidR="00D56222" w:rsidRDefault="00D56222" w:rsidP="00F24861">
            <w:pPr>
              <w:jc w:val="center"/>
            </w:pPr>
            <w:r>
              <w:t>Регламент услуг</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222" w:rsidRDefault="00D56222" w:rsidP="00F24861">
            <w:pPr>
              <w:jc w:val="center"/>
            </w:pPr>
            <w:r>
              <w:t>Периодичность обслуживания</w:t>
            </w:r>
          </w:p>
        </w:tc>
      </w:tr>
      <w:tr w:rsidR="00D56222" w:rsidTr="00F24861">
        <w:trPr>
          <w:trHeight w:val="321"/>
        </w:trPr>
        <w:tc>
          <w:tcPr>
            <w:tcW w:w="6521" w:type="dxa"/>
            <w:tcBorders>
              <w:top w:val="single" w:sz="4" w:space="0" w:color="000000"/>
              <w:left w:val="single" w:sz="4" w:space="0" w:color="000000"/>
              <w:bottom w:val="single" w:sz="4" w:space="0" w:color="000000"/>
            </w:tcBorders>
            <w:shd w:val="clear" w:color="auto" w:fill="auto"/>
            <w:vAlign w:val="center"/>
          </w:tcPr>
          <w:p w:rsidR="00D56222" w:rsidRDefault="00D56222" w:rsidP="00F24861">
            <w:pPr>
              <w:jc w:val="both"/>
            </w:pPr>
            <w:proofErr w:type="gramStart"/>
            <w:r>
              <w:rPr>
                <w:color w:val="000000"/>
              </w:rPr>
              <w:t xml:space="preserve">Внешний осмотр составных частей системы </w:t>
            </w:r>
            <w:r>
              <w:t>в том числе: прове</w:t>
            </w:r>
            <w:r>
              <w:t>р</w:t>
            </w:r>
            <w:r>
              <w:t>ка надежности установки источника питания; удаление загрязн</w:t>
            </w:r>
            <w:r>
              <w:t>е</w:t>
            </w:r>
            <w:r>
              <w:t>ний с поверхности источника питания (пыль, грязь, влага), устр</w:t>
            </w:r>
            <w:r>
              <w:t>а</w:t>
            </w:r>
            <w:r>
              <w:t>нение механических повреждений корпуса; проверка исправн</w:t>
            </w:r>
            <w:r>
              <w:t>о</w:t>
            </w:r>
            <w:r>
              <w:t>сти узлов управления; проверка исправности и соответствия н</w:t>
            </w:r>
            <w:r>
              <w:t>о</w:t>
            </w:r>
            <w:r>
              <w:t xml:space="preserve">минала предохранителя; контроль наличия защитных крышек на </w:t>
            </w:r>
            <w:proofErr w:type="spellStart"/>
            <w:r>
              <w:t>клеммных</w:t>
            </w:r>
            <w:proofErr w:type="spellEnd"/>
            <w:r>
              <w:t xml:space="preserve"> колодках источника питания, пломб или печатей на них, включая корпус источника питания;</w:t>
            </w:r>
            <w:proofErr w:type="gramEnd"/>
            <w:r>
              <w:t xml:space="preserve"> проверка качества кре</w:t>
            </w:r>
            <w:r>
              <w:t>п</w:t>
            </w:r>
            <w:r>
              <w:t>ления проводов на разъемах и </w:t>
            </w:r>
            <w:proofErr w:type="spellStart"/>
            <w:r>
              <w:t>клеммных</w:t>
            </w:r>
            <w:proofErr w:type="spellEnd"/>
            <w:r>
              <w:t xml:space="preserve"> колодках.</w:t>
            </w:r>
          </w:p>
          <w:p w:rsidR="00D56222" w:rsidRDefault="00D56222" w:rsidP="00F24861">
            <w:pPr>
              <w:jc w:val="both"/>
            </w:pPr>
            <w:r>
              <w:t>Проверка надежности крепления и установки видеокамер; чистка корпуса и объектива видеокамеры от пыли, грязи, влаги, устран</w:t>
            </w:r>
            <w:r>
              <w:t>е</w:t>
            </w:r>
            <w:r>
              <w:t>ние механических повреждений корпуса. Проверка работы виде</w:t>
            </w:r>
            <w:r>
              <w:t>о</w:t>
            </w:r>
            <w:r>
              <w:t>регистратора.</w:t>
            </w:r>
          </w:p>
          <w:p w:rsidR="00D56222" w:rsidRDefault="00D56222" w:rsidP="00F24861">
            <w:r>
              <w:t>При выявлении, в ходе осмотра, перечисленных выше нарушений произвести их устранение.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222" w:rsidRDefault="00D56222" w:rsidP="00F24861">
            <w:pPr>
              <w:jc w:val="center"/>
            </w:pPr>
            <w:proofErr w:type="gramStart"/>
            <w:r>
              <w:t>е</w:t>
            </w:r>
            <w:proofErr w:type="gramEnd"/>
            <w:r>
              <w:t>жемесячно</w:t>
            </w:r>
          </w:p>
        </w:tc>
      </w:tr>
      <w:tr w:rsidR="00D56222" w:rsidTr="00F24861">
        <w:trPr>
          <w:trHeight w:val="337"/>
        </w:trPr>
        <w:tc>
          <w:tcPr>
            <w:tcW w:w="6521" w:type="dxa"/>
            <w:tcBorders>
              <w:top w:val="single" w:sz="4" w:space="0" w:color="000000"/>
              <w:left w:val="single" w:sz="4" w:space="0" w:color="000000"/>
              <w:bottom w:val="single" w:sz="4" w:space="0" w:color="000000"/>
            </w:tcBorders>
            <w:shd w:val="clear" w:color="auto" w:fill="auto"/>
            <w:vAlign w:val="center"/>
          </w:tcPr>
          <w:p w:rsidR="00D56222" w:rsidRDefault="00D56222" w:rsidP="00F24861">
            <w:r>
              <w:t>Проверка и при необходимости регулировка тока заряда и вел</w:t>
            </w:r>
            <w:r>
              <w:t>и</w:t>
            </w:r>
            <w:r>
              <w:t>чины напряжения аккумуляторных батарей.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222" w:rsidRDefault="00D56222" w:rsidP="00F24861">
            <w:pPr>
              <w:jc w:val="center"/>
            </w:pPr>
            <w:r>
              <w:t>ежемесячно</w:t>
            </w:r>
          </w:p>
        </w:tc>
      </w:tr>
      <w:tr w:rsidR="00D56222" w:rsidTr="00F24861">
        <w:trPr>
          <w:trHeight w:val="337"/>
        </w:trPr>
        <w:tc>
          <w:tcPr>
            <w:tcW w:w="6521" w:type="dxa"/>
            <w:tcBorders>
              <w:top w:val="single" w:sz="4" w:space="0" w:color="000000"/>
              <w:left w:val="single" w:sz="4" w:space="0" w:color="000000"/>
              <w:bottom w:val="single" w:sz="4" w:space="0" w:color="000000"/>
            </w:tcBorders>
            <w:shd w:val="clear" w:color="auto" w:fill="auto"/>
            <w:vAlign w:val="center"/>
          </w:tcPr>
          <w:p w:rsidR="00D56222" w:rsidRDefault="00D56222" w:rsidP="00F24861">
            <w:r>
              <w:t>Измерение электрических параметров блока питания (контроль величин выходного напряжения; величины тока срабатывания автоматической защиты от перегрузки).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222" w:rsidRDefault="00D56222" w:rsidP="00F24861">
            <w:pPr>
              <w:jc w:val="center"/>
            </w:pPr>
            <w:r>
              <w:t>ежемесячно</w:t>
            </w:r>
          </w:p>
        </w:tc>
      </w:tr>
      <w:tr w:rsidR="00D56222" w:rsidTr="00F24861">
        <w:trPr>
          <w:trHeight w:val="337"/>
        </w:trPr>
        <w:tc>
          <w:tcPr>
            <w:tcW w:w="6521" w:type="dxa"/>
            <w:tcBorders>
              <w:top w:val="single" w:sz="4" w:space="0" w:color="000000"/>
              <w:left w:val="single" w:sz="4" w:space="0" w:color="000000"/>
              <w:bottom w:val="single" w:sz="4" w:space="0" w:color="000000"/>
            </w:tcBorders>
            <w:shd w:val="clear" w:color="auto" w:fill="auto"/>
            <w:vAlign w:val="center"/>
          </w:tcPr>
          <w:p w:rsidR="00D56222" w:rsidRDefault="00D56222" w:rsidP="00F24861">
            <w:r>
              <w:t>Проверка конфигурации зоны обнаружения камеры и ее чувств</w:t>
            </w:r>
            <w:r>
              <w:t>и</w:t>
            </w:r>
            <w:r>
              <w:t xml:space="preserve">тельности (проверка правильности установки </w:t>
            </w:r>
            <w:r>
              <w:lastRenderedPageBreak/>
              <w:t>видеокамеры; ко</w:t>
            </w:r>
            <w:r>
              <w:t>н</w:t>
            </w:r>
            <w:r>
              <w:t>троль площади охраняемой зоны; контроль дальности зоны обн</w:t>
            </w:r>
            <w:r>
              <w:t>а</w:t>
            </w:r>
            <w:r>
              <w:t>ружения; проверка на отсутствие «мертвых зон» в зоне обнар</w:t>
            </w:r>
            <w:r>
              <w:t>у</w:t>
            </w:r>
            <w:r>
              <w:t>жения).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222" w:rsidRDefault="00D56222" w:rsidP="00F24861">
            <w:pPr>
              <w:jc w:val="center"/>
            </w:pPr>
            <w:r>
              <w:lastRenderedPageBreak/>
              <w:t>ежемесячно</w:t>
            </w:r>
          </w:p>
        </w:tc>
      </w:tr>
      <w:tr w:rsidR="00D56222" w:rsidTr="00F24861">
        <w:trPr>
          <w:trHeight w:val="337"/>
        </w:trPr>
        <w:tc>
          <w:tcPr>
            <w:tcW w:w="6521" w:type="dxa"/>
            <w:tcBorders>
              <w:top w:val="single" w:sz="4" w:space="0" w:color="000000"/>
              <w:left w:val="single" w:sz="4" w:space="0" w:color="000000"/>
              <w:bottom w:val="single" w:sz="4" w:space="0" w:color="000000"/>
            </w:tcBorders>
            <w:shd w:val="clear" w:color="auto" w:fill="auto"/>
            <w:vAlign w:val="center"/>
          </w:tcPr>
          <w:p w:rsidR="00D56222" w:rsidRDefault="00D56222" w:rsidP="00F24861">
            <w:r>
              <w:lastRenderedPageBreak/>
              <w:t>Проверка состояния электропроводки (качества соединения каб</w:t>
            </w:r>
            <w:r>
              <w:t>е</w:t>
            </w:r>
            <w:r>
              <w:t>лей питания в распределительных коробках и щитах; проверка мест установки и надежности крепления кабелей питания).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222" w:rsidRDefault="00D56222" w:rsidP="00F24861">
            <w:pPr>
              <w:jc w:val="center"/>
            </w:pPr>
            <w:r>
              <w:t>ежемесячно</w:t>
            </w:r>
          </w:p>
        </w:tc>
      </w:tr>
      <w:tr w:rsidR="00D56222" w:rsidTr="00F24861">
        <w:trPr>
          <w:trHeight w:val="337"/>
        </w:trPr>
        <w:tc>
          <w:tcPr>
            <w:tcW w:w="6521" w:type="dxa"/>
            <w:tcBorders>
              <w:top w:val="single" w:sz="4" w:space="0" w:color="000000"/>
              <w:left w:val="single" w:sz="4" w:space="0" w:color="000000"/>
              <w:bottom w:val="single" w:sz="4" w:space="0" w:color="000000"/>
            </w:tcBorders>
            <w:shd w:val="clear" w:color="auto" w:fill="auto"/>
            <w:vAlign w:val="center"/>
          </w:tcPr>
          <w:p w:rsidR="00D56222" w:rsidRDefault="00D56222" w:rsidP="00F24861">
            <w:r>
              <w:rPr>
                <w:color w:val="000000"/>
              </w:rPr>
              <w:t>Контроль, настройка, профилактика электрических и функци</w:t>
            </w:r>
            <w:r>
              <w:rPr>
                <w:color w:val="000000"/>
              </w:rPr>
              <w:t>о</w:t>
            </w:r>
            <w:r>
              <w:rPr>
                <w:color w:val="000000"/>
              </w:rPr>
              <w:t>нальных параметров оборудования.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222" w:rsidRDefault="00D56222" w:rsidP="00F24861">
            <w:pPr>
              <w:jc w:val="center"/>
            </w:pPr>
            <w:r>
              <w:t>ежемесячно</w:t>
            </w:r>
          </w:p>
        </w:tc>
      </w:tr>
      <w:tr w:rsidR="00D56222" w:rsidTr="00F24861">
        <w:trPr>
          <w:trHeight w:val="337"/>
        </w:trPr>
        <w:tc>
          <w:tcPr>
            <w:tcW w:w="6521" w:type="dxa"/>
            <w:tcBorders>
              <w:top w:val="single" w:sz="4" w:space="0" w:color="000000"/>
              <w:left w:val="single" w:sz="4" w:space="0" w:color="000000"/>
              <w:bottom w:val="single" w:sz="4" w:space="0" w:color="000000"/>
            </w:tcBorders>
            <w:shd w:val="clear" w:color="auto" w:fill="auto"/>
            <w:vAlign w:val="center"/>
          </w:tcPr>
          <w:p w:rsidR="00D56222" w:rsidRDefault="00D56222" w:rsidP="00F24861">
            <w:r>
              <w:rPr>
                <w:color w:val="000000"/>
              </w:rPr>
              <w:t>Проверка работоспособности и настройка системы видеонабл</w:t>
            </w:r>
            <w:r>
              <w:rPr>
                <w:color w:val="000000"/>
              </w:rPr>
              <w:t>ю</w:t>
            </w:r>
            <w:r>
              <w:rPr>
                <w:color w:val="000000"/>
              </w:rPr>
              <w:t>дения.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222" w:rsidRDefault="00D56222" w:rsidP="00F24861">
            <w:pPr>
              <w:jc w:val="center"/>
            </w:pPr>
            <w:r>
              <w:t>ежемесячно</w:t>
            </w:r>
          </w:p>
        </w:tc>
      </w:tr>
      <w:tr w:rsidR="00D56222" w:rsidTr="00F24861">
        <w:trPr>
          <w:trHeight w:val="30"/>
        </w:trPr>
        <w:tc>
          <w:tcPr>
            <w:tcW w:w="6521" w:type="dxa"/>
            <w:tcBorders>
              <w:top w:val="single" w:sz="4" w:space="0" w:color="000000"/>
              <w:left w:val="single" w:sz="4" w:space="0" w:color="000000"/>
              <w:bottom w:val="single" w:sz="4" w:space="0" w:color="000000"/>
            </w:tcBorders>
            <w:shd w:val="clear" w:color="auto" w:fill="auto"/>
            <w:vAlign w:val="center"/>
          </w:tcPr>
          <w:p w:rsidR="00D56222" w:rsidRDefault="00D56222" w:rsidP="00F24861">
            <w:r>
              <w:rPr>
                <w:color w:val="000000"/>
              </w:rPr>
              <w:t xml:space="preserve">Обслуживание кабельных соединений и сетевого оборудования, источников бесперебойного питания </w:t>
            </w:r>
            <w:r>
              <w:t>(аккумулятора).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222" w:rsidRDefault="00D56222" w:rsidP="00F24861">
            <w:pPr>
              <w:jc w:val="center"/>
            </w:pPr>
            <w:r>
              <w:t>ежемесячно</w:t>
            </w:r>
          </w:p>
        </w:tc>
      </w:tr>
      <w:tr w:rsidR="00D56222" w:rsidTr="00F24861">
        <w:trPr>
          <w:trHeight w:val="30"/>
        </w:trPr>
        <w:tc>
          <w:tcPr>
            <w:tcW w:w="6521" w:type="dxa"/>
            <w:tcBorders>
              <w:top w:val="single" w:sz="4" w:space="0" w:color="000000"/>
              <w:left w:val="single" w:sz="4" w:space="0" w:color="000000"/>
              <w:bottom w:val="single" w:sz="4" w:space="0" w:color="000000"/>
            </w:tcBorders>
            <w:shd w:val="clear" w:color="auto" w:fill="auto"/>
            <w:vAlign w:val="center"/>
          </w:tcPr>
          <w:p w:rsidR="00D56222" w:rsidRDefault="00D56222" w:rsidP="00F24861">
            <w:r>
              <w:rPr>
                <w:color w:val="000000"/>
              </w:rPr>
              <w:t>Метрологическая проверка контрольно-измерительными приб</w:t>
            </w:r>
            <w:r>
              <w:rPr>
                <w:color w:val="000000"/>
              </w:rPr>
              <w:t>о</w:t>
            </w:r>
            <w:r>
              <w:rPr>
                <w:color w:val="000000"/>
              </w:rPr>
              <w:t>рами.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222" w:rsidRDefault="00D56222" w:rsidP="00F24861">
            <w:pPr>
              <w:jc w:val="center"/>
            </w:pPr>
            <w:r>
              <w:t>один раз в период действия контракта</w:t>
            </w:r>
          </w:p>
        </w:tc>
      </w:tr>
      <w:tr w:rsidR="00D56222" w:rsidTr="00F24861">
        <w:trPr>
          <w:trHeight w:val="30"/>
        </w:trPr>
        <w:tc>
          <w:tcPr>
            <w:tcW w:w="6521" w:type="dxa"/>
            <w:tcBorders>
              <w:top w:val="single" w:sz="4" w:space="0" w:color="000000"/>
              <w:left w:val="single" w:sz="4" w:space="0" w:color="000000"/>
              <w:bottom w:val="single" w:sz="4" w:space="0" w:color="000000"/>
            </w:tcBorders>
            <w:shd w:val="clear" w:color="auto" w:fill="auto"/>
            <w:vAlign w:val="center"/>
          </w:tcPr>
          <w:p w:rsidR="00D56222" w:rsidRDefault="00D56222" w:rsidP="00F24861">
            <w:r>
              <w:t>Выявление неисправностей системы видеонаблюдения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222" w:rsidRDefault="00D56222" w:rsidP="00F24861">
            <w:pPr>
              <w:jc w:val="center"/>
            </w:pPr>
            <w:r>
              <w:t>в случае выхода из строя оборудования системы видеона</w:t>
            </w:r>
            <w:r>
              <w:t>б</w:t>
            </w:r>
            <w:r>
              <w:t>людения</w:t>
            </w:r>
          </w:p>
        </w:tc>
      </w:tr>
      <w:tr w:rsidR="00D56222" w:rsidTr="00F24861">
        <w:trPr>
          <w:trHeight w:val="30"/>
        </w:trPr>
        <w:tc>
          <w:tcPr>
            <w:tcW w:w="6521" w:type="dxa"/>
            <w:tcBorders>
              <w:left w:val="single" w:sz="4" w:space="0" w:color="000000"/>
              <w:bottom w:val="single" w:sz="4" w:space="0" w:color="000000"/>
            </w:tcBorders>
            <w:shd w:val="clear" w:color="auto" w:fill="auto"/>
            <w:vAlign w:val="center"/>
          </w:tcPr>
          <w:p w:rsidR="00D56222" w:rsidRDefault="00D56222" w:rsidP="00F24861">
            <w:r>
              <w:t>Восстановление работоспособности системы видеонаблюдения</w:t>
            </w:r>
          </w:p>
        </w:tc>
        <w:tc>
          <w:tcPr>
            <w:tcW w:w="3402" w:type="dxa"/>
            <w:tcBorders>
              <w:left w:val="single" w:sz="4" w:space="0" w:color="000000"/>
              <w:bottom w:val="single" w:sz="4" w:space="0" w:color="000000"/>
              <w:right w:val="single" w:sz="4" w:space="0" w:color="000000"/>
            </w:tcBorders>
            <w:shd w:val="clear" w:color="auto" w:fill="auto"/>
            <w:vAlign w:val="center"/>
          </w:tcPr>
          <w:p w:rsidR="00D56222" w:rsidRDefault="00D56222" w:rsidP="00F24861">
            <w:pPr>
              <w:jc w:val="center"/>
            </w:pPr>
            <w:r>
              <w:t>в случае выхода из строя оборудования системы видеона</w:t>
            </w:r>
            <w:r>
              <w:t>б</w:t>
            </w:r>
            <w:r>
              <w:t>людения</w:t>
            </w:r>
          </w:p>
        </w:tc>
      </w:tr>
      <w:tr w:rsidR="00D56222" w:rsidTr="00F24861">
        <w:trPr>
          <w:trHeight w:val="30"/>
        </w:trPr>
        <w:tc>
          <w:tcPr>
            <w:tcW w:w="6521" w:type="dxa"/>
            <w:tcBorders>
              <w:left w:val="single" w:sz="4" w:space="0" w:color="000000"/>
              <w:bottom w:val="single" w:sz="4" w:space="0" w:color="000000"/>
            </w:tcBorders>
            <w:shd w:val="clear" w:color="auto" w:fill="auto"/>
            <w:vAlign w:val="center"/>
          </w:tcPr>
          <w:p w:rsidR="00D56222" w:rsidRDefault="00D56222" w:rsidP="00F24861">
            <w:r>
              <w:t>Изменение программного обеспечения</w:t>
            </w:r>
          </w:p>
        </w:tc>
        <w:tc>
          <w:tcPr>
            <w:tcW w:w="3402" w:type="dxa"/>
            <w:tcBorders>
              <w:left w:val="single" w:sz="4" w:space="0" w:color="000000"/>
              <w:bottom w:val="single" w:sz="4" w:space="0" w:color="000000"/>
              <w:right w:val="single" w:sz="4" w:space="0" w:color="000000"/>
            </w:tcBorders>
            <w:shd w:val="clear" w:color="auto" w:fill="auto"/>
            <w:vAlign w:val="center"/>
          </w:tcPr>
          <w:p w:rsidR="00D56222" w:rsidRDefault="00D56222" w:rsidP="00F24861">
            <w:pPr>
              <w:jc w:val="center"/>
            </w:pPr>
            <w:r>
              <w:t>По мере необходимости</w:t>
            </w:r>
          </w:p>
        </w:tc>
      </w:tr>
    </w:tbl>
    <w:p w:rsidR="00D56222" w:rsidRDefault="00D56222" w:rsidP="00D56222">
      <w:pPr>
        <w:tabs>
          <w:tab w:val="left" w:pos="360"/>
          <w:tab w:val="left" w:pos="540"/>
        </w:tabs>
        <w:jc w:val="both"/>
        <w:rPr>
          <w:b/>
          <w:bCs/>
        </w:rPr>
      </w:pPr>
    </w:p>
    <w:p w:rsidR="00D56222" w:rsidRDefault="00D56222" w:rsidP="00D56222">
      <w:pPr>
        <w:tabs>
          <w:tab w:val="left" w:pos="0"/>
        </w:tabs>
        <w:jc w:val="both"/>
      </w:pPr>
      <w:r>
        <w:t>Техническое обслуживание систем видеонаблюдения включает в себя:</w:t>
      </w:r>
    </w:p>
    <w:p w:rsidR="00D56222" w:rsidRDefault="00D56222" w:rsidP="00D56222">
      <w:pPr>
        <w:shd w:val="clear" w:color="auto" w:fill="FFFFFF"/>
        <w:tabs>
          <w:tab w:val="left" w:pos="360"/>
          <w:tab w:val="left" w:pos="540"/>
        </w:tabs>
        <w:ind w:firstLine="709"/>
        <w:jc w:val="both"/>
        <w:rPr>
          <w:spacing w:val="2"/>
        </w:rPr>
      </w:pPr>
      <w:r>
        <w:t>- плановое обслуживание;</w:t>
      </w:r>
    </w:p>
    <w:p w:rsidR="00D56222" w:rsidRDefault="00D56222" w:rsidP="00D56222">
      <w:pPr>
        <w:shd w:val="clear" w:color="auto" w:fill="FFFFFF"/>
        <w:tabs>
          <w:tab w:val="left" w:pos="360"/>
          <w:tab w:val="left" w:pos="540"/>
        </w:tabs>
        <w:ind w:firstLine="709"/>
        <w:jc w:val="both"/>
      </w:pPr>
      <w:r>
        <w:rPr>
          <w:spacing w:val="2"/>
        </w:rPr>
        <w:t xml:space="preserve">- неплановое </w:t>
      </w:r>
      <w:r>
        <w:t>обслуживание.</w:t>
      </w:r>
    </w:p>
    <w:p w:rsidR="00D56222" w:rsidRDefault="00D56222" w:rsidP="00D56222">
      <w:pPr>
        <w:shd w:val="clear" w:color="auto" w:fill="FFFFFF"/>
        <w:tabs>
          <w:tab w:val="left" w:pos="360"/>
          <w:tab w:val="left" w:pos="540"/>
          <w:tab w:val="left" w:pos="883"/>
        </w:tabs>
        <w:ind w:firstLine="709"/>
        <w:jc w:val="both"/>
        <w:rPr>
          <w:b/>
          <w:bCs/>
        </w:rPr>
      </w:pPr>
      <w:r>
        <w:t>Плановое (регламентированное) техническое обслуживание системы видеонаблюдения пр</w:t>
      </w:r>
      <w:r>
        <w:t>о</w:t>
      </w:r>
      <w:r>
        <w:t>водится во время, согласованное с Заказчиком, с учетом технической документации заводов изготовителей, обслуживаемой системы видеонаблюдения с периодичностью, предусмотренной регламе</w:t>
      </w:r>
      <w:r>
        <w:t>н</w:t>
      </w:r>
      <w:r>
        <w:t>том услуг.</w:t>
      </w:r>
    </w:p>
    <w:p w:rsidR="00D56222" w:rsidRDefault="00D56222" w:rsidP="00D56222">
      <w:pPr>
        <w:tabs>
          <w:tab w:val="left" w:pos="360"/>
          <w:tab w:val="left" w:pos="540"/>
        </w:tabs>
        <w:jc w:val="both"/>
      </w:pPr>
      <w:r>
        <w:rPr>
          <w:b/>
          <w:bCs/>
        </w:rPr>
        <w:tab/>
      </w:r>
    </w:p>
    <w:p w:rsidR="00D56222" w:rsidRDefault="00D56222" w:rsidP="00D56222">
      <w:pPr>
        <w:shd w:val="clear" w:color="auto" w:fill="FFFFFF"/>
        <w:tabs>
          <w:tab w:val="left" w:pos="360"/>
          <w:tab w:val="left" w:pos="540"/>
          <w:tab w:val="left" w:pos="5510"/>
        </w:tabs>
        <w:ind w:firstLine="709"/>
        <w:jc w:val="both"/>
      </w:pPr>
      <w:r>
        <w:t>Неплановое техническое обслуживание системы видеонаблюдения производится в случае внезапного выхода из строя системы видеонаблюдения, независимо от даты планового технического обслуживания системы видеонаблюдения, в максимально короткие сроки после получения заявки на устранение неисправности в любой день, включая праздничные и выходные дни, по вызову З</w:t>
      </w:r>
      <w:r>
        <w:t>а</w:t>
      </w:r>
      <w:r>
        <w:t>казчика. Заявка может быть подана с использованием любых сре</w:t>
      </w:r>
      <w:proofErr w:type="gramStart"/>
      <w:r>
        <w:t>дств св</w:t>
      </w:r>
      <w:proofErr w:type="gramEnd"/>
      <w:r>
        <w:t>язи.</w:t>
      </w:r>
    </w:p>
    <w:p w:rsidR="00D56222" w:rsidRDefault="00D56222" w:rsidP="00D56222">
      <w:pPr>
        <w:shd w:val="clear" w:color="auto" w:fill="FFFFFF"/>
        <w:tabs>
          <w:tab w:val="left" w:pos="360"/>
          <w:tab w:val="left" w:pos="540"/>
        </w:tabs>
        <w:ind w:firstLine="709"/>
        <w:jc w:val="both"/>
      </w:pPr>
      <w:r>
        <w:t>Выявление неисправностей системы видеонаблюдения осуществляется для определения пр</w:t>
      </w:r>
      <w:r>
        <w:t>и</w:t>
      </w:r>
      <w:r>
        <w:t xml:space="preserve">чин отказов, «ложных» срабатываний, отключений камер видеонаблюдения, сбоев </w:t>
      </w:r>
      <w:proofErr w:type="spellStart"/>
      <w:r>
        <w:t>видеосервиса</w:t>
      </w:r>
      <w:proofErr w:type="spellEnd"/>
      <w:r>
        <w:t xml:space="preserve">, вызванных техническими и программными неполадками в работе аппаратуры. </w:t>
      </w:r>
      <w:r>
        <w:rPr>
          <w:noProof/>
          <w:lang w:eastAsia="ru-RU"/>
        </w:rPr>
        <mc:AlternateContent>
          <mc:Choice Requires="wps">
            <w:drawing>
              <wp:anchor distT="0" distB="0" distL="114299" distR="114299" simplePos="0" relativeHeight="251659264" behindDoc="0" locked="0" layoutInCell="1" allowOverlap="1" wp14:anchorId="5CD6E46D" wp14:editId="3B060622">
                <wp:simplePos x="0" y="0"/>
                <wp:positionH relativeFrom="margin">
                  <wp:posOffset>9418319</wp:posOffset>
                </wp:positionH>
                <wp:positionV relativeFrom="paragraph">
                  <wp:posOffset>73025</wp:posOffset>
                </wp:positionV>
                <wp:extent cx="0" cy="469265"/>
                <wp:effectExtent l="19050" t="19050" r="38100" b="260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265"/>
                        </a:xfrm>
                        <a:prstGeom prst="line">
                          <a:avLst/>
                        </a:prstGeom>
                        <a:noFill/>
                        <a:ln w="90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41.6pt,5.75pt" to="741.6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yz0wIAAKYFAAAOAAAAZHJzL2Uyb0RvYy54bWysVN1u0zAUvkfiHazcZ0na9C9aOm1pys2A&#10;SRvi2k2cxiKxg+01rRAScI20R+AVuABp0oBnSN+IY6cN67hBaK0UnXNsf/7OOZ/P8cm6LNCKCEk5&#10;Cy3vyLUQYQlPKVuG1quruT22kFSYpbjgjITWhkjrZPr0yXFdBaTHc16kRCAAYTKoq9DKlaoCx5FJ&#10;Tkosj3hFGCxmXJRYgSuWTipwDehl4fRcd+jUXKSV4AmREqKzdtGaGvwsI4l6mWWSKFSEFnBT5ivM&#10;d6G/zvQYB0uBq5wmOxr4P1iUmDK4tIOaYYXRtaB/QZU0EVzyTB0lvHR4ltGEmBwgG899kM1ljiti&#10;coHiyKork3w82OTF6kIgmobWwEIMl9Ci5sv2w/am+dF83d6g7cfmV/O9+dbcNj+b2+0nsO+2n8HW&#10;i83dLnyDBrqSdSUDAIzYhdC1SNbssjrnyRuJGI9yzJbEZHS1qeAaT59wDo5oR1bAZ1E/5ynswdeK&#10;m7KuM1FqSCgYWpvubbrukbVCSRtMIOoPJ72hoePgYH+uElI9I7xE2gitgjJdVxzg1blUmgcO9lt0&#10;mPE5LQqjjYKhOrQmrgvqSTAoVL41JyUvaKp36f1SLBdRIdAKa5mZn8kOVu5vK6kCsRe0DK1xtwkH&#10;OcFpzFJzncK0aG2gVDANToyMW57grRWYJg55G4m9m7iTeByPfdvvDWPbd2cz+3Qe+fZw7o0Gs/4s&#10;imbee83a84Ocpilhmvhe7p7/b3LaPbxWqJ3gu1I5h+impkD2kOnpfOCO/P7YHo0Gfdvvx659Np5H&#10;9mnkDYej+Cw6ix8wjU328nHIdqXUrPg1dOMyT2uUUi2K/mDS8yxwYDz0Rm1/EC6WMNcSJSwkuHpN&#10;VW4krMWnMQ4aP3b1f9f4Dr0txL6H2uu6sMvtT6mg5/v+mpehH0P7rBY83VyI/YuBYWAO7QaXnjb3&#10;fbDvj9fpbwAAAP//AwBQSwMEFAAGAAgAAAAhAAqn+svdAAAACwEAAA8AAABkcnMvZG93bnJldi54&#10;bWxMj81OwzAQhO9IvIO1SNyonf5AFOJUCIkLB1AL6tmNlyTUXkex26Zvz1Y9lNvO7mj2m3I5eicO&#10;OMQukIZsokAg1cF21Gj4/np7yEHEZMgaFwg1nDDCsrq9KU1hw5FWeFinRnAIxcJoaFPqCylj3aI3&#10;cRJ6JL79hMGbxHJopB3MkcO9k1OlHqU3HfGH1vT42mK9W++9hl+1kzb6bKRP9fF+Ws02bvPktb6/&#10;G1+eQSQc09UMZ3xGh4qZtmFPNgrHep7PpuzlKVuAODsum62GfDEHWZXyf4fqDwAA//8DAFBLAQIt&#10;ABQABgAIAAAAIQC2gziS/gAAAOEBAAATAAAAAAAAAAAAAAAAAAAAAABbQ29udGVudF9UeXBlc10u&#10;eG1sUEsBAi0AFAAGAAgAAAAhADj9If/WAAAAlAEAAAsAAAAAAAAAAAAAAAAALwEAAF9yZWxzLy5y&#10;ZWxzUEsBAi0AFAAGAAgAAAAhAFNhbLPTAgAApgUAAA4AAAAAAAAAAAAAAAAALgIAAGRycy9lMm9E&#10;b2MueG1sUEsBAi0AFAAGAAgAAAAhAAqn+svdAAAACwEAAA8AAAAAAAAAAAAAAAAALQUAAGRycy9k&#10;b3ducmV2LnhtbFBLBQYAAAAABAAEAPMAAAA3BgAAAAA=&#10;" strokeweight=".25mm">
                <v:stroke joinstyle="miter" endcap="square"/>
                <w10:wrap anchorx="margin"/>
              </v:line>
            </w:pict>
          </mc:Fallback>
        </mc:AlternateContent>
      </w:r>
    </w:p>
    <w:p w:rsidR="00D56222" w:rsidRDefault="00D56222" w:rsidP="00D56222">
      <w:pPr>
        <w:tabs>
          <w:tab w:val="left" w:pos="360"/>
          <w:tab w:val="left" w:pos="540"/>
        </w:tabs>
        <w:ind w:firstLine="709"/>
        <w:jc w:val="both"/>
      </w:pPr>
      <w:r>
        <w:t>Восстановление работоспособности осуществляется в случае отказа в работе, а также сбоев в работе системы видеонаблюдения. На срок восстановительного ремонта Исполнитель предоставляет исправные устройства на замену вышедшего из строя оборудования и приборов из своего обменн</w:t>
      </w:r>
      <w:r>
        <w:t>о</w:t>
      </w:r>
      <w:r>
        <w:t xml:space="preserve">го фонда. </w:t>
      </w:r>
    </w:p>
    <w:p w:rsidR="00D56222" w:rsidRDefault="00D56222" w:rsidP="00D56222">
      <w:pPr>
        <w:tabs>
          <w:tab w:val="left" w:pos="360"/>
          <w:tab w:val="left" w:pos="540"/>
        </w:tabs>
        <w:ind w:firstLine="709"/>
        <w:jc w:val="both"/>
      </w:pPr>
      <w:r>
        <w:t>В случае</w:t>
      </w:r>
      <w:proofErr w:type="gramStart"/>
      <w:r>
        <w:t>,</w:t>
      </w:r>
      <w:proofErr w:type="gramEnd"/>
      <w:r>
        <w:t xml:space="preserve"> если восстановление системы невозможно, в связи с необходимость замены детали или оборудования ремонт которого невозможен по техническим причинам, Исполнитель составляет дефектную ведомость, в которой указывает суть выявленных неисправностей, причины невозмо</w:t>
      </w:r>
      <w:r>
        <w:t>ж</w:t>
      </w:r>
      <w:r>
        <w:t xml:space="preserve">ности восстановления работоспособности системы.  </w:t>
      </w:r>
    </w:p>
    <w:p w:rsidR="00D56222" w:rsidRDefault="00D56222" w:rsidP="00D56222">
      <w:pPr>
        <w:tabs>
          <w:tab w:val="left" w:pos="360"/>
          <w:tab w:val="left" w:pos="540"/>
        </w:tabs>
        <w:ind w:firstLine="709"/>
        <w:jc w:val="both"/>
      </w:pPr>
      <w:r>
        <w:t>Осуществление текущего ремонта, замена не подлежащих ремонту запасных частей, обор</w:t>
      </w:r>
      <w:r>
        <w:t>у</w:t>
      </w:r>
      <w:r>
        <w:t>дования осуществляется Заказчиком в рамках отдельных договорных отношений. Основанием для текущего ремонта (замены вышедших из строя запасных частей, оборудования, не подлежащих р</w:t>
      </w:r>
      <w:r>
        <w:t>е</w:t>
      </w:r>
      <w:r>
        <w:t xml:space="preserve">монту) является дефектная ведомость, составленная Исполнителем. </w:t>
      </w:r>
    </w:p>
    <w:p w:rsidR="00D56222" w:rsidRDefault="00D56222" w:rsidP="00D56222">
      <w:pPr>
        <w:tabs>
          <w:tab w:val="left" w:pos="360"/>
          <w:tab w:val="left" w:pos="540"/>
        </w:tabs>
        <w:ind w:firstLine="709"/>
        <w:jc w:val="both"/>
      </w:pPr>
      <w:r>
        <w:t>Изменение программного обеспечения, для улучшения функционирования системы виде</w:t>
      </w:r>
      <w:r>
        <w:t>о</w:t>
      </w:r>
      <w:r>
        <w:t xml:space="preserve">наблюдения проводится Исполнителем по мере необходимости, по заявке Заказчика, в </w:t>
      </w:r>
      <w:r>
        <w:lastRenderedPageBreak/>
        <w:t>течени</w:t>
      </w:r>
      <w:proofErr w:type="gramStart"/>
      <w:r>
        <w:t>и</w:t>
      </w:r>
      <w:proofErr w:type="gramEnd"/>
      <w:r>
        <w:t xml:space="preserve"> 1 (одного) рабочего дня с момента получения Исполнителем заявки. </w:t>
      </w:r>
    </w:p>
    <w:p w:rsidR="00D56222" w:rsidRDefault="00D56222" w:rsidP="00D56222">
      <w:pPr>
        <w:ind w:firstLine="708"/>
        <w:jc w:val="both"/>
      </w:pPr>
      <w:r>
        <w:t>Исполнитель поддерживает систему видеонаблюдения в исправном и работоспособном с</w:t>
      </w:r>
      <w:r>
        <w:t>о</w:t>
      </w:r>
      <w:r>
        <w:t>стоянии путем проведения своевременного технического обслуживания.</w:t>
      </w:r>
    </w:p>
    <w:p w:rsidR="00D56222" w:rsidRDefault="00D56222" w:rsidP="00D56222">
      <w:pPr>
        <w:tabs>
          <w:tab w:val="left" w:pos="540"/>
        </w:tabs>
        <w:autoSpaceDE w:val="0"/>
        <w:ind w:firstLine="709"/>
        <w:jc w:val="both"/>
      </w:pPr>
      <w:r>
        <w:t>Оказанные услуги по техническому обслуживанию системы видеонаблюдения фиксируются в Журнале регистрации оказанных услуг по техническому обслуживанию системы видеонаблюд</w:t>
      </w:r>
      <w:r>
        <w:t>е</w:t>
      </w:r>
      <w:r>
        <w:t xml:space="preserve">ния.  </w:t>
      </w:r>
    </w:p>
    <w:p w:rsidR="00D56222" w:rsidRDefault="00D56222" w:rsidP="00D56222">
      <w:pPr>
        <w:ind w:firstLine="709"/>
        <w:jc w:val="both"/>
      </w:pPr>
      <w:r>
        <w:t>Описание оказанных Исполнителем услуг соответствует регламенту услуг.</w:t>
      </w:r>
    </w:p>
    <w:p w:rsidR="00D56222" w:rsidRDefault="00D56222" w:rsidP="00D56222">
      <w:pPr>
        <w:tabs>
          <w:tab w:val="left" w:pos="540"/>
        </w:tabs>
        <w:autoSpaceDE w:val="0"/>
        <w:ind w:firstLine="709"/>
        <w:jc w:val="both"/>
      </w:pPr>
      <w:r>
        <w:t>Записи констатируют следующий вывод: «Система видеонаблюдения сдана Зака</w:t>
      </w:r>
      <w:r>
        <w:t>з</w:t>
      </w:r>
      <w:r>
        <w:t>чику в исправном и работоспособном состоянии, готова к использованию по назначению».</w:t>
      </w:r>
    </w:p>
    <w:p w:rsidR="00D56222" w:rsidRDefault="00D56222" w:rsidP="00D56222">
      <w:pPr>
        <w:tabs>
          <w:tab w:val="left" w:pos="540"/>
        </w:tabs>
        <w:autoSpaceDE w:val="0"/>
        <w:ind w:firstLine="709"/>
        <w:jc w:val="both"/>
      </w:pPr>
      <w:r>
        <w:t>Страницы журнала пронумерованы, прошнурованы и скреплены печатями И</w:t>
      </w:r>
      <w:r>
        <w:t>с</w:t>
      </w:r>
      <w:r>
        <w:t>полнителя и Заказчика.</w:t>
      </w:r>
    </w:p>
    <w:p w:rsidR="00D56222" w:rsidRDefault="00D56222" w:rsidP="00D56222">
      <w:pPr>
        <w:tabs>
          <w:tab w:val="left" w:pos="540"/>
        </w:tabs>
        <w:autoSpaceDE w:val="0"/>
        <w:ind w:firstLine="709"/>
        <w:jc w:val="both"/>
      </w:pPr>
      <w:r>
        <w:t xml:space="preserve">Исполнитель проводит проверку технического состояния системы видеонаблюдения. </w:t>
      </w:r>
      <w:r>
        <w:rPr>
          <w:color w:val="000000"/>
        </w:rPr>
        <w:t xml:space="preserve">В случае необходимости замены неисправного или морально устаревшего оборудования системы, Исполнитель уведомляет Заказчика в письменной форме с предоставлением дефектной ведомости. </w:t>
      </w:r>
      <w:r>
        <w:t>Наименование и количество неисправного или морально устаревшего оборудования системы, необх</w:t>
      </w:r>
      <w:r>
        <w:t>о</w:t>
      </w:r>
      <w:r>
        <w:t>димое для оказания услуг по замене оборудования системы видеонаблюдения согласуется с Зака</w:t>
      </w:r>
      <w:r>
        <w:t>з</w:t>
      </w:r>
      <w:r>
        <w:t xml:space="preserve">чиком. </w:t>
      </w:r>
    </w:p>
    <w:p w:rsidR="00D56222" w:rsidRDefault="00D56222" w:rsidP="00D56222">
      <w:pPr>
        <w:tabs>
          <w:tab w:val="left" w:pos="540"/>
        </w:tabs>
        <w:autoSpaceDE w:val="0"/>
        <w:jc w:val="both"/>
      </w:pPr>
      <w:r>
        <w:tab/>
        <w:t>Качество оказываемых услуг соответствует всем требованиям, установленным де</w:t>
      </w:r>
      <w:r>
        <w:t>й</w:t>
      </w:r>
      <w:r>
        <w:t xml:space="preserve">ствующим законодательством Российской Федерации, к такому роду услуг. </w:t>
      </w:r>
    </w:p>
    <w:p w:rsidR="00D56222" w:rsidRDefault="00D56222" w:rsidP="00D56222">
      <w:pPr>
        <w:ind w:firstLine="708"/>
        <w:jc w:val="both"/>
        <w:rPr>
          <w:iCs/>
        </w:rPr>
      </w:pPr>
      <w:r>
        <w:t>Техническое обслуживание системы видеонаблюдения проводится комплексно, в соответс</w:t>
      </w:r>
      <w:r>
        <w:t>т</w:t>
      </w:r>
      <w:r>
        <w:t xml:space="preserve">вии с эксплуатационной документацией на установленную систему видеонаблюдения. </w:t>
      </w:r>
      <w:r>
        <w:rPr>
          <w:spacing w:val="-1"/>
        </w:rPr>
        <w:t xml:space="preserve">Услуги по техническому обслуживанию </w:t>
      </w:r>
      <w:r>
        <w:t>системы видеонаблюдения</w:t>
      </w:r>
      <w:r>
        <w:rPr>
          <w:spacing w:val="-1"/>
        </w:rPr>
        <w:t xml:space="preserve"> оказываются в соответствии с требованиями технической документации на обслуживаемую систему и с соблюдением законодательства Ро</w:t>
      </w:r>
      <w:r>
        <w:rPr>
          <w:spacing w:val="-1"/>
        </w:rPr>
        <w:t>с</w:t>
      </w:r>
      <w:r>
        <w:rPr>
          <w:spacing w:val="-1"/>
        </w:rPr>
        <w:t>сийской Федерации.</w:t>
      </w:r>
    </w:p>
    <w:p w:rsidR="00D56222" w:rsidRDefault="00D56222" w:rsidP="00D56222">
      <w:pPr>
        <w:tabs>
          <w:tab w:val="left" w:pos="360"/>
          <w:tab w:val="left" w:pos="540"/>
        </w:tabs>
        <w:ind w:firstLine="709"/>
        <w:jc w:val="both"/>
        <w:rPr>
          <w:iCs/>
        </w:rPr>
      </w:pPr>
      <w:r>
        <w:rPr>
          <w:iCs/>
        </w:rPr>
        <w:t xml:space="preserve">После оказания услуг по техническому обслуживанию </w:t>
      </w:r>
      <w:r>
        <w:t>системы видеонаблюдения</w:t>
      </w:r>
      <w:r>
        <w:rPr>
          <w:iCs/>
        </w:rPr>
        <w:t xml:space="preserve">, система </w:t>
      </w:r>
      <w:r>
        <w:t>видеонаблюдения обеспечивает</w:t>
      </w:r>
      <w:r>
        <w:rPr>
          <w:iCs/>
        </w:rPr>
        <w:t>:</w:t>
      </w:r>
    </w:p>
    <w:p w:rsidR="00D56222" w:rsidRDefault="00D56222" w:rsidP="00D56222">
      <w:pPr>
        <w:tabs>
          <w:tab w:val="left" w:pos="360"/>
          <w:tab w:val="left" w:pos="540"/>
        </w:tabs>
        <w:jc w:val="both"/>
        <w:rPr>
          <w:iCs/>
        </w:rPr>
      </w:pPr>
      <w:r>
        <w:rPr>
          <w:iCs/>
        </w:rPr>
        <w:tab/>
      </w:r>
      <w:r>
        <w:rPr>
          <w:iCs/>
        </w:rPr>
        <w:tab/>
      </w:r>
      <w:r>
        <w:rPr>
          <w:iCs/>
        </w:rPr>
        <w:tab/>
        <w:t>- качественный видеоконтроль за изображениями с видеокамер, отражаемыми на монитор, который находится на действующем посту охраны;</w:t>
      </w:r>
    </w:p>
    <w:p w:rsidR="00D56222" w:rsidRDefault="00D56222" w:rsidP="00D56222">
      <w:pPr>
        <w:tabs>
          <w:tab w:val="left" w:pos="360"/>
          <w:tab w:val="left" w:pos="540"/>
        </w:tabs>
        <w:jc w:val="both"/>
      </w:pPr>
      <w:r>
        <w:rPr>
          <w:iCs/>
        </w:rPr>
        <w:tab/>
      </w:r>
      <w:r>
        <w:rPr>
          <w:iCs/>
        </w:rPr>
        <w:tab/>
      </w:r>
      <w:r>
        <w:rPr>
          <w:iCs/>
        </w:rPr>
        <w:tab/>
        <w:t xml:space="preserve">- функционирование </w:t>
      </w:r>
      <w:r>
        <w:t>системы видеонаблюдения в</w:t>
      </w:r>
      <w:r>
        <w:rPr>
          <w:iCs/>
        </w:rPr>
        <w:t xml:space="preserve"> автоматическом режиме.</w:t>
      </w:r>
    </w:p>
    <w:p w:rsidR="00D56222" w:rsidRDefault="00D56222" w:rsidP="00D56222">
      <w:pPr>
        <w:tabs>
          <w:tab w:val="center" w:pos="4677"/>
          <w:tab w:val="right" w:pos="9355"/>
        </w:tabs>
        <w:ind w:firstLine="709"/>
        <w:jc w:val="both"/>
      </w:pPr>
      <w:r>
        <w:t>Исполнитель при оказании услуг по техническому обслуживанию системы видеонаблюдения обеспечивает сохранность и работоспособность электрических, противопожарных и инженерных сетей на участке оказания услуг.</w:t>
      </w:r>
    </w:p>
    <w:p w:rsidR="00D56222" w:rsidRDefault="00D56222" w:rsidP="00D56222">
      <w:pPr>
        <w:tabs>
          <w:tab w:val="left" w:pos="540"/>
        </w:tabs>
        <w:autoSpaceDE w:val="0"/>
        <w:ind w:firstLine="709"/>
        <w:jc w:val="both"/>
      </w:pPr>
      <w:proofErr w:type="gramStart"/>
      <w:r>
        <w:t>При оказании услуг по техническому обслуживанию системы видеонаблюдения обеспечив</w:t>
      </w:r>
      <w:r>
        <w:t>а</w:t>
      </w:r>
      <w:r>
        <w:t>ется сохранность (в том числе техническая защита) информации, указанной в паспортах объектов комплексной системы обеспечения безопасности (далее – КСОБ), в частности контактная информ</w:t>
      </w:r>
      <w:r>
        <w:t>а</w:t>
      </w:r>
      <w:r>
        <w:t>ция о руководителе и ответственных лицах (персональные данные), а также сведения о структуре КСОБ объекта, схемы технической организации КСОБ объекта, особенности и спецификация уст</w:t>
      </w:r>
      <w:r>
        <w:t>а</w:t>
      </w:r>
      <w:r>
        <w:t>новленного оборудования.</w:t>
      </w:r>
      <w:proofErr w:type="gramEnd"/>
    </w:p>
    <w:p w:rsidR="004C75CF" w:rsidRPr="00D56222" w:rsidRDefault="004C75CF" w:rsidP="00D56222">
      <w:bookmarkStart w:id="0" w:name="_GoBack"/>
      <w:bookmarkEnd w:id="0"/>
    </w:p>
    <w:sectPr w:rsidR="004C75CF" w:rsidRPr="00D56222" w:rsidSect="00D56222">
      <w:footerReference w:type="even" r:id="rId8"/>
      <w:footerReference w:type="default" r:id="rId9"/>
      <w:pgSz w:w="11906" w:h="16838"/>
      <w:pgMar w:top="720" w:right="851" w:bottom="77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D9B" w:rsidRDefault="003A2D9B">
      <w:r>
        <w:separator/>
      </w:r>
    </w:p>
  </w:endnote>
  <w:endnote w:type="continuationSeparator" w:id="0">
    <w:p w:rsidR="003A2D9B" w:rsidRDefault="003A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sidR="00D5622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D9B" w:rsidRDefault="003A2D9B">
      <w:r>
        <w:separator/>
      </w:r>
    </w:p>
  </w:footnote>
  <w:footnote w:type="continuationSeparator" w:id="0">
    <w:p w:rsidR="003A2D9B" w:rsidRDefault="003A2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2">
    <w:nsid w:val="4FE9530C"/>
    <w:multiLevelType w:val="multilevel"/>
    <w:tmpl w:val="4B8EE30E"/>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3">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3A2D9B"/>
    <w:rsid w:val="004C75CF"/>
    <w:rsid w:val="00C1151D"/>
    <w:rsid w:val="00D56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uiPriority w:val="99"/>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uiPriority w:val="99"/>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7190</Characters>
  <Application>Microsoft Office Word</Application>
  <DocSecurity>0</DocSecurity>
  <Lines>59</Lines>
  <Paragraphs>16</Paragraphs>
  <ScaleCrop>false</ScaleCrop>
  <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3</cp:revision>
  <dcterms:created xsi:type="dcterms:W3CDTF">2018-02-13T08:34:00Z</dcterms:created>
  <dcterms:modified xsi:type="dcterms:W3CDTF">2018-02-13T10:16:00Z</dcterms:modified>
</cp:coreProperties>
</file>