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728FE">
        <w:rPr>
          <w:rFonts w:ascii="Times New Roman" w:eastAsia="Times New Roman" w:hAnsi="Times New Roman" w:cs="Times New Roman"/>
          <w:sz w:val="28"/>
        </w:rPr>
        <w:t>поставка в 2018 году протезов голени для обеспечения инвалидов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86427" w:rsidRPr="005728FE" w:rsidRDefault="00986427" w:rsidP="00986427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Pr="00FC4BDE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Pr="00FC4BD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FC4BDE">
        <w:rPr>
          <w:rFonts w:ascii="Times New Roman" w:eastAsia="Times New Roman" w:hAnsi="Times New Roman" w:cs="Times New Roman"/>
          <w:sz w:val="28"/>
        </w:rPr>
        <w:t xml:space="preserve">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 xml:space="preserve">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ортезирование верхних и нижних конечностей».</w:t>
      </w:r>
      <w:r w:rsidRPr="00356AD9">
        <w:t xml:space="preserve"> </w:t>
      </w:r>
    </w:p>
    <w:p w:rsidR="00986427" w:rsidRDefault="00986427" w:rsidP="00986427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C456A" w:rsidRPr="00BE1C89" w:rsidRDefault="007C456A" w:rsidP="00986427">
      <w:pPr>
        <w:shd w:val="clear" w:color="auto" w:fill="FBFBFB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1982"/>
        <w:gridCol w:w="6407"/>
        <w:gridCol w:w="1309"/>
      </w:tblGrid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немодульный                  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немодульный. Формообразующая часть косметической облицовки – поролоновая или без косметической оболочки. Покрытие облицовки - чулки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ортопедические или без покрытия. Приемная гильза индивидуальная. Материал приемной гильзы: кожа; дерево;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бедра (манжеты с шинами) или с использованием кожаных полуфабрикатов (без шин). Стопа немодульная бесшарнирная, полиуретановая, монолитная гибкая или стопа с металлическим каркасом, подвижная во всех вертикальных плоскостях, или стопа деревянно-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фильцевая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или без стопы.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F33BD9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3BD9" w:rsidRDefault="00F33BD9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33BD9" w:rsidRDefault="00F33BD9" w:rsidP="00F33B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F33BD9" w:rsidRDefault="00F33BD9" w:rsidP="00C72B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3BD9" w:rsidRDefault="00F33BD9" w:rsidP="00F33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BD9">
              <w:rPr>
                <w:rFonts w:ascii="Times New Roman" w:eastAsia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перлоновые или </w:t>
            </w:r>
            <w:proofErr w:type="spellStart"/>
            <w:r w:rsidRPr="00F33BD9">
              <w:rPr>
                <w:rFonts w:ascii="Times New Roman" w:eastAsia="Times New Roman" w:hAnsi="Times New Roman" w:cs="Times New Roman"/>
              </w:rPr>
              <w:t>силоновые</w:t>
            </w:r>
            <w:proofErr w:type="spellEnd"/>
            <w:r w:rsidRPr="00F33BD9">
              <w:rPr>
                <w:rFonts w:ascii="Times New Roman" w:eastAsia="Times New Roman" w:hAnsi="Times New Roman" w:cs="Times New Roman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пластик; дерево; кожа. Допускается применение вкладной гильзы из вспененных материалов или без неё. </w:t>
            </w:r>
            <w:r w:rsidRPr="00F33BD9">
              <w:rPr>
                <w:rFonts w:ascii="Times New Roman" w:eastAsia="Times New Roman" w:hAnsi="Times New Roman" w:cs="Times New Roman"/>
              </w:rPr>
              <w:lastRenderedPageBreak/>
              <w:t>Крепление протеза индивидуальное: гильза бедра (манжеты с шинами), или с использованием кожаных полуфабрикатов, или с использованием наколенника или бандажа, или за счёт формы приёмной гильзы. Регулировочно-соединительные устройства должны соответствовать весу пациента. Стопа модульная шарнирная или стопа модульная бесшарнирная гибкая.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3BD9" w:rsidRDefault="00F33BD9" w:rsidP="00C7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</w:tr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7C45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или за счёт формы приёмной гильзы. Регулировочно-соединительные устройства должны соответствовать весу пациента. Стопа модульная с многоосным шарниром или Стопа модульная бесшарнирная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      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с силиконовым чехлом. Формообразующая часть косметической облицовки - модульная мягкая или жесткая полиуретановая. Косметическое покрытие облицовки - чулки ортопедические перлоновые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должны соответствовать весу пациента. Стопа модульная с многоосным шарниром или Стопа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псевдошарнирная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многоосная, или Стопа модульная бесшарнирная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C45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C456A" w:rsidTr="00F33BD9">
        <w:trPr>
          <w:trHeight w:val="11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                         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с силиконовым чехлом; взрослый, детский.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перлоновые, допускается покрытие защитное плёночное. Приемная гильза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с многоосным шарниром повышенной функциональностью с пружинными элементами из карбона или стопа бесшарнирная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активной пяткой и расщепленным носком с высокой степенью энергосбережения.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F33BD9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с силиконовым чехлом; взрослый, детский.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перлоновые, допускается покрытие защитное пленочное.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бесшарнирная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высокой степенью энергосбережения, с активной пяткой и расщепленным носком, с торсионным механизмом для комфортной ходьбы.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C45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для купания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>Протез голени модульный для купания.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бесшарнирная ги</w:t>
            </w:r>
            <w:r w:rsidR="00986427">
              <w:rPr>
                <w:rFonts w:ascii="Times New Roman" w:eastAsia="Times New Roman" w:hAnsi="Times New Roman" w:cs="Times New Roman"/>
              </w:rPr>
              <w:t>бкая, имеет поверхность с защит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86427">
              <w:rPr>
                <w:rFonts w:ascii="Times New Roman" w:eastAsia="Times New Roman" w:hAnsi="Times New Roman" w:cs="Times New Roman"/>
              </w:rPr>
              <w:t xml:space="preserve"> от проскальзывания, позволяющую</w:t>
            </w:r>
            <w:r>
              <w:rPr>
                <w:rFonts w:ascii="Times New Roman" w:eastAsia="Times New Roman" w:hAnsi="Times New Roman" w:cs="Times New Roman"/>
              </w:rPr>
              <w:t xml:space="preserve"> передвигаться по влажной и скользкой поверхности. Тип протеза по назначению: постоянный, специальный.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986427" w:rsidP="00986427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Протезно-ортопедические изделия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должны подбираться индивидуально, из предложенных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омплектаций, с использованием указанных материалов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, с учетом  медицинских показаний Получателей.</w:t>
      </w: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471F20" w:rsidTr="00C72B8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Минимальный гарантийный срок</w:t>
            </w:r>
          </w:p>
        </w:tc>
      </w:tr>
      <w:tr w:rsidR="00471F20" w:rsidTr="00C72B8C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Протезы голени немодульные, 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 месяцев</w:t>
            </w:r>
          </w:p>
        </w:tc>
      </w:tr>
      <w:tr w:rsidR="00471F20" w:rsidTr="00C72B8C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Протезы голени для купания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06209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06209E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6E" w:rsidRDefault="001C476E" w:rsidP="006B0AFC">
      <w:pPr>
        <w:spacing w:after="0" w:line="240" w:lineRule="auto"/>
      </w:pPr>
      <w:r>
        <w:separator/>
      </w:r>
    </w:p>
  </w:endnote>
  <w:endnote w:type="continuationSeparator" w:id="0">
    <w:p w:rsidR="001C476E" w:rsidRDefault="001C476E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FE" w:rsidRDefault="005728F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14BAA7" wp14:editId="53497F52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06209E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5728FE" w:rsidRDefault="005728F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06209E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A640C9" wp14:editId="16102A40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5728FE" w:rsidRDefault="005728F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319AD1" wp14:editId="5B0CF4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5728FE" w:rsidRDefault="005728F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6E" w:rsidRDefault="001C476E" w:rsidP="006B0AFC">
      <w:pPr>
        <w:spacing w:after="0" w:line="240" w:lineRule="auto"/>
      </w:pPr>
      <w:r>
        <w:separator/>
      </w:r>
    </w:p>
  </w:footnote>
  <w:footnote w:type="continuationSeparator" w:id="0">
    <w:p w:rsidR="001C476E" w:rsidRDefault="001C476E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FE" w:rsidRDefault="00572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209E"/>
    <w:rsid w:val="00067AC2"/>
    <w:rsid w:val="000E4932"/>
    <w:rsid w:val="00133E77"/>
    <w:rsid w:val="00144756"/>
    <w:rsid w:val="001761CE"/>
    <w:rsid w:val="001C476E"/>
    <w:rsid w:val="00201421"/>
    <w:rsid w:val="0027316F"/>
    <w:rsid w:val="00355CC3"/>
    <w:rsid w:val="00376333"/>
    <w:rsid w:val="0045426F"/>
    <w:rsid w:val="00471F20"/>
    <w:rsid w:val="004A12DC"/>
    <w:rsid w:val="005728FE"/>
    <w:rsid w:val="005777C6"/>
    <w:rsid w:val="0060232D"/>
    <w:rsid w:val="00641A24"/>
    <w:rsid w:val="006575F4"/>
    <w:rsid w:val="006B0AFC"/>
    <w:rsid w:val="006F19DC"/>
    <w:rsid w:val="007129EA"/>
    <w:rsid w:val="00752FCA"/>
    <w:rsid w:val="00767348"/>
    <w:rsid w:val="007C456A"/>
    <w:rsid w:val="007E3003"/>
    <w:rsid w:val="00842A67"/>
    <w:rsid w:val="008C10C3"/>
    <w:rsid w:val="008D084C"/>
    <w:rsid w:val="008F2BDD"/>
    <w:rsid w:val="00986427"/>
    <w:rsid w:val="00A15DA5"/>
    <w:rsid w:val="00A366C2"/>
    <w:rsid w:val="00A96111"/>
    <w:rsid w:val="00C371B2"/>
    <w:rsid w:val="00C62B39"/>
    <w:rsid w:val="00CF5EED"/>
    <w:rsid w:val="00CF7E75"/>
    <w:rsid w:val="00D37980"/>
    <w:rsid w:val="00D45EDD"/>
    <w:rsid w:val="00DA582E"/>
    <w:rsid w:val="00E3231B"/>
    <w:rsid w:val="00E645CF"/>
    <w:rsid w:val="00E71C9D"/>
    <w:rsid w:val="00EB0CEF"/>
    <w:rsid w:val="00F006D1"/>
    <w:rsid w:val="00F325B8"/>
    <w:rsid w:val="00F33BD9"/>
    <w:rsid w:val="00F375A6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67C3-18D3-42A7-AB66-3472BF74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6</cp:revision>
  <cp:lastPrinted>2018-07-23T06:25:00Z</cp:lastPrinted>
  <dcterms:created xsi:type="dcterms:W3CDTF">2018-08-08T06:36:00Z</dcterms:created>
  <dcterms:modified xsi:type="dcterms:W3CDTF">2018-08-24T07:27:00Z</dcterms:modified>
</cp:coreProperties>
</file>