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58" w:rsidRDefault="00F81C58" w:rsidP="00F81C58">
      <w:pPr>
        <w:pStyle w:val="a3"/>
        <w:jc w:val="center"/>
        <w:rPr>
          <w:sz w:val="24"/>
        </w:rPr>
      </w:pPr>
      <w:r>
        <w:rPr>
          <w:sz w:val="24"/>
        </w:rPr>
        <w:t>Описание объекта закупки</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069"/>
        <w:gridCol w:w="1657"/>
        <w:gridCol w:w="3547"/>
        <w:gridCol w:w="993"/>
        <w:gridCol w:w="993"/>
        <w:gridCol w:w="1253"/>
        <w:gridCol w:w="24"/>
      </w:tblGrid>
      <w:tr w:rsidR="00F81C58" w:rsidRPr="00D20D69" w:rsidTr="001D3657">
        <w:trPr>
          <w:gridAfter w:val="1"/>
          <w:wAfter w:w="24" w:type="dxa"/>
          <w:trHeight w:val="612"/>
          <w:jc w:val="center"/>
        </w:trPr>
        <w:tc>
          <w:tcPr>
            <w:tcW w:w="573" w:type="dxa"/>
            <w:shd w:val="clear" w:color="auto" w:fill="auto"/>
            <w:vAlign w:val="center"/>
          </w:tcPr>
          <w:p w:rsidR="00F81C58" w:rsidRPr="00D20D69" w:rsidRDefault="00F81C58" w:rsidP="00754ED5">
            <w:pPr>
              <w:jc w:val="center"/>
              <w:rPr>
                <w:sz w:val="20"/>
                <w:szCs w:val="20"/>
              </w:rPr>
            </w:pPr>
            <w:r w:rsidRPr="00D20D69">
              <w:rPr>
                <w:sz w:val="20"/>
                <w:szCs w:val="20"/>
              </w:rPr>
              <w:t>№</w:t>
            </w:r>
          </w:p>
          <w:p w:rsidR="00F81C58" w:rsidRPr="00D20D69" w:rsidRDefault="00F81C58" w:rsidP="00754ED5">
            <w:pPr>
              <w:jc w:val="center"/>
              <w:rPr>
                <w:sz w:val="20"/>
                <w:szCs w:val="20"/>
              </w:rPr>
            </w:pPr>
            <w:r w:rsidRPr="00D20D69">
              <w:rPr>
                <w:sz w:val="20"/>
                <w:szCs w:val="20"/>
              </w:rPr>
              <w:t>п/п</w:t>
            </w:r>
          </w:p>
        </w:tc>
        <w:tc>
          <w:tcPr>
            <w:tcW w:w="1069" w:type="dxa"/>
            <w:vAlign w:val="center"/>
          </w:tcPr>
          <w:p w:rsidR="00F81C58" w:rsidRPr="00D20D69" w:rsidRDefault="00F81C58" w:rsidP="00754ED5">
            <w:pPr>
              <w:spacing w:line="100" w:lineRule="atLeast"/>
              <w:jc w:val="center"/>
              <w:rPr>
                <w:sz w:val="20"/>
                <w:szCs w:val="20"/>
              </w:rPr>
            </w:pPr>
            <w:r w:rsidRPr="00D20D69">
              <w:rPr>
                <w:sz w:val="20"/>
                <w:szCs w:val="20"/>
              </w:rPr>
              <w:t xml:space="preserve">Номер вида </w:t>
            </w:r>
            <w:proofErr w:type="spellStart"/>
            <w:proofErr w:type="gramStart"/>
            <w:r w:rsidRPr="00D20D69">
              <w:rPr>
                <w:sz w:val="20"/>
                <w:szCs w:val="20"/>
              </w:rPr>
              <w:t>техни-ческого</w:t>
            </w:r>
            <w:proofErr w:type="spellEnd"/>
            <w:proofErr w:type="gramEnd"/>
            <w:r w:rsidRPr="00D20D69">
              <w:rPr>
                <w:sz w:val="20"/>
                <w:szCs w:val="20"/>
              </w:rPr>
              <w:t xml:space="preserve"> </w:t>
            </w:r>
            <w:proofErr w:type="spellStart"/>
            <w:r w:rsidRPr="00D20D69">
              <w:rPr>
                <w:sz w:val="20"/>
                <w:szCs w:val="20"/>
              </w:rPr>
              <w:t>средст</w:t>
            </w:r>
            <w:proofErr w:type="spellEnd"/>
            <w:r w:rsidRPr="00D20D69">
              <w:rPr>
                <w:sz w:val="20"/>
                <w:szCs w:val="20"/>
              </w:rPr>
              <w:t>-</w:t>
            </w:r>
          </w:p>
          <w:p w:rsidR="00F81C58" w:rsidRPr="00D20D69" w:rsidRDefault="00F81C58" w:rsidP="00754ED5">
            <w:pPr>
              <w:spacing w:line="100" w:lineRule="atLeast"/>
              <w:jc w:val="center"/>
              <w:rPr>
                <w:sz w:val="20"/>
                <w:szCs w:val="20"/>
              </w:rPr>
            </w:pPr>
            <w:proofErr w:type="spellStart"/>
            <w:r w:rsidRPr="00D20D69">
              <w:rPr>
                <w:sz w:val="20"/>
                <w:szCs w:val="20"/>
              </w:rPr>
              <w:t>ва</w:t>
            </w:r>
            <w:proofErr w:type="spellEnd"/>
            <w:r w:rsidRPr="00D20D69">
              <w:rPr>
                <w:sz w:val="20"/>
                <w:szCs w:val="20"/>
              </w:rPr>
              <w:t xml:space="preserve"> </w:t>
            </w:r>
            <w:proofErr w:type="spellStart"/>
            <w:proofErr w:type="gramStart"/>
            <w:r w:rsidRPr="00D20D69">
              <w:rPr>
                <w:sz w:val="20"/>
                <w:szCs w:val="20"/>
              </w:rPr>
              <w:t>реаби-литации</w:t>
            </w:r>
            <w:proofErr w:type="spellEnd"/>
            <w:proofErr w:type="gramEnd"/>
            <w:r w:rsidRPr="00D20D69">
              <w:rPr>
                <w:sz w:val="20"/>
                <w:szCs w:val="20"/>
              </w:rPr>
              <w:t xml:space="preserve"> (</w:t>
            </w:r>
            <w:proofErr w:type="spellStart"/>
            <w:r w:rsidRPr="00D20D69">
              <w:rPr>
                <w:sz w:val="20"/>
                <w:szCs w:val="20"/>
              </w:rPr>
              <w:t>изде-лий</w:t>
            </w:r>
            <w:proofErr w:type="spellEnd"/>
            <w:r w:rsidRPr="00D20D69">
              <w:rPr>
                <w:sz w:val="20"/>
                <w:szCs w:val="20"/>
              </w:rPr>
              <w:t>)</w:t>
            </w:r>
            <w:r w:rsidRPr="00D20D69">
              <w:rPr>
                <w:rStyle w:val="a5"/>
                <w:sz w:val="20"/>
                <w:szCs w:val="20"/>
              </w:rPr>
              <w:footnoteReference w:id="1"/>
            </w:r>
          </w:p>
        </w:tc>
        <w:tc>
          <w:tcPr>
            <w:tcW w:w="1657" w:type="dxa"/>
            <w:shd w:val="clear" w:color="auto" w:fill="auto"/>
            <w:vAlign w:val="center"/>
          </w:tcPr>
          <w:p w:rsidR="00F81C58" w:rsidRPr="00D20D69" w:rsidRDefault="00F81C58" w:rsidP="00754ED5">
            <w:pPr>
              <w:spacing w:line="100" w:lineRule="atLeast"/>
              <w:jc w:val="center"/>
              <w:rPr>
                <w:sz w:val="20"/>
                <w:szCs w:val="20"/>
              </w:rPr>
            </w:pPr>
            <w:r w:rsidRPr="00D20D69">
              <w:rPr>
                <w:sz w:val="20"/>
                <w:szCs w:val="20"/>
              </w:rPr>
              <w:t>Наименование товара</w:t>
            </w:r>
          </w:p>
        </w:tc>
        <w:tc>
          <w:tcPr>
            <w:tcW w:w="3547" w:type="dxa"/>
            <w:shd w:val="clear" w:color="auto" w:fill="auto"/>
            <w:vAlign w:val="center"/>
          </w:tcPr>
          <w:p w:rsidR="00F81C58" w:rsidRPr="00D20D69" w:rsidRDefault="00F81C58" w:rsidP="00754ED5">
            <w:pPr>
              <w:spacing w:line="100" w:lineRule="atLeast"/>
              <w:jc w:val="center"/>
              <w:rPr>
                <w:sz w:val="20"/>
                <w:szCs w:val="20"/>
              </w:rPr>
            </w:pPr>
            <w:r w:rsidRPr="00D20D69">
              <w:rPr>
                <w:sz w:val="20"/>
                <w:szCs w:val="20"/>
              </w:rPr>
              <w:t>Технические, функциональные и качественные характеристики товара</w:t>
            </w:r>
          </w:p>
        </w:tc>
        <w:tc>
          <w:tcPr>
            <w:tcW w:w="993" w:type="dxa"/>
            <w:shd w:val="clear" w:color="auto" w:fill="auto"/>
            <w:vAlign w:val="center"/>
          </w:tcPr>
          <w:p w:rsidR="00F81C58" w:rsidRPr="00D20D69" w:rsidRDefault="00F81C58" w:rsidP="00754ED5">
            <w:pPr>
              <w:jc w:val="center"/>
              <w:rPr>
                <w:sz w:val="20"/>
                <w:szCs w:val="20"/>
              </w:rPr>
            </w:pPr>
            <w:r w:rsidRPr="00D20D69">
              <w:rPr>
                <w:sz w:val="20"/>
                <w:szCs w:val="20"/>
              </w:rPr>
              <w:t>Кол-во, шт.</w:t>
            </w:r>
          </w:p>
        </w:tc>
        <w:tc>
          <w:tcPr>
            <w:tcW w:w="993" w:type="dxa"/>
            <w:vAlign w:val="center"/>
          </w:tcPr>
          <w:p w:rsidR="00F81C58" w:rsidRPr="00D20D69" w:rsidRDefault="00F81C58" w:rsidP="00754ED5">
            <w:pPr>
              <w:jc w:val="center"/>
              <w:rPr>
                <w:sz w:val="20"/>
                <w:szCs w:val="20"/>
                <w:lang w:eastAsia="ar-SA"/>
              </w:rPr>
            </w:pPr>
            <w:r w:rsidRPr="00D20D69">
              <w:rPr>
                <w:sz w:val="20"/>
                <w:szCs w:val="20"/>
                <w:lang w:eastAsia="ar-SA"/>
              </w:rPr>
              <w:t>Средняя цена единицы товара, руб.</w:t>
            </w:r>
          </w:p>
        </w:tc>
        <w:tc>
          <w:tcPr>
            <w:tcW w:w="1253" w:type="dxa"/>
            <w:vAlign w:val="center"/>
          </w:tcPr>
          <w:p w:rsidR="00F81C58" w:rsidRPr="00D20D69" w:rsidRDefault="00F81C58" w:rsidP="00754ED5">
            <w:pPr>
              <w:jc w:val="center"/>
              <w:rPr>
                <w:sz w:val="20"/>
                <w:szCs w:val="20"/>
                <w:lang w:eastAsia="ar-SA"/>
              </w:rPr>
            </w:pPr>
            <w:r w:rsidRPr="00D20D69">
              <w:rPr>
                <w:sz w:val="20"/>
                <w:szCs w:val="20"/>
                <w:lang w:eastAsia="ar-SA"/>
              </w:rPr>
              <w:t>Начальная (максимальная) цена контракта, руб.</w:t>
            </w:r>
          </w:p>
        </w:tc>
      </w:tr>
      <w:tr w:rsidR="00F81C58" w:rsidRPr="00D20D69" w:rsidTr="001D3657">
        <w:trPr>
          <w:gridAfter w:val="1"/>
          <w:wAfter w:w="24" w:type="dxa"/>
          <w:trHeight w:val="244"/>
          <w:jc w:val="center"/>
        </w:trPr>
        <w:tc>
          <w:tcPr>
            <w:tcW w:w="573" w:type="dxa"/>
            <w:shd w:val="clear" w:color="auto" w:fill="auto"/>
            <w:vAlign w:val="center"/>
          </w:tcPr>
          <w:p w:rsidR="00F81C58" w:rsidRPr="00D20D69" w:rsidRDefault="00F81C58" w:rsidP="00754ED5">
            <w:pPr>
              <w:jc w:val="center"/>
              <w:rPr>
                <w:sz w:val="20"/>
                <w:szCs w:val="20"/>
              </w:rPr>
            </w:pPr>
            <w:r w:rsidRPr="00D20D69">
              <w:rPr>
                <w:sz w:val="20"/>
                <w:szCs w:val="20"/>
              </w:rPr>
              <w:t>1</w:t>
            </w:r>
          </w:p>
        </w:tc>
        <w:tc>
          <w:tcPr>
            <w:tcW w:w="1069" w:type="dxa"/>
            <w:vAlign w:val="center"/>
          </w:tcPr>
          <w:p w:rsidR="00F81C58" w:rsidRPr="00D20D69" w:rsidRDefault="00F81C58" w:rsidP="00754ED5">
            <w:pPr>
              <w:spacing w:line="100" w:lineRule="atLeast"/>
              <w:jc w:val="center"/>
              <w:rPr>
                <w:sz w:val="20"/>
                <w:szCs w:val="20"/>
              </w:rPr>
            </w:pPr>
            <w:r w:rsidRPr="00D20D69">
              <w:rPr>
                <w:sz w:val="20"/>
                <w:szCs w:val="20"/>
              </w:rPr>
              <w:t>2</w:t>
            </w:r>
          </w:p>
        </w:tc>
        <w:tc>
          <w:tcPr>
            <w:tcW w:w="1657" w:type="dxa"/>
            <w:shd w:val="clear" w:color="auto" w:fill="auto"/>
            <w:vAlign w:val="center"/>
          </w:tcPr>
          <w:p w:rsidR="00F81C58" w:rsidRPr="00D20D69" w:rsidRDefault="00F81C58" w:rsidP="00754ED5">
            <w:pPr>
              <w:spacing w:line="100" w:lineRule="atLeast"/>
              <w:jc w:val="center"/>
              <w:rPr>
                <w:sz w:val="20"/>
                <w:szCs w:val="20"/>
              </w:rPr>
            </w:pPr>
            <w:r w:rsidRPr="00D20D69">
              <w:rPr>
                <w:sz w:val="20"/>
                <w:szCs w:val="20"/>
              </w:rPr>
              <w:t>3</w:t>
            </w:r>
          </w:p>
        </w:tc>
        <w:tc>
          <w:tcPr>
            <w:tcW w:w="3547" w:type="dxa"/>
            <w:shd w:val="clear" w:color="auto" w:fill="auto"/>
            <w:vAlign w:val="center"/>
          </w:tcPr>
          <w:p w:rsidR="00F81C58" w:rsidRPr="00D20D69" w:rsidRDefault="00F81C58" w:rsidP="00754ED5">
            <w:pPr>
              <w:spacing w:line="100" w:lineRule="atLeast"/>
              <w:jc w:val="center"/>
              <w:rPr>
                <w:sz w:val="20"/>
                <w:szCs w:val="20"/>
              </w:rPr>
            </w:pPr>
            <w:r w:rsidRPr="00D20D69">
              <w:rPr>
                <w:sz w:val="20"/>
                <w:szCs w:val="20"/>
              </w:rPr>
              <w:t>4</w:t>
            </w:r>
          </w:p>
        </w:tc>
        <w:tc>
          <w:tcPr>
            <w:tcW w:w="993" w:type="dxa"/>
            <w:shd w:val="clear" w:color="auto" w:fill="auto"/>
            <w:vAlign w:val="center"/>
          </w:tcPr>
          <w:p w:rsidR="00F81C58" w:rsidRPr="00D20D69" w:rsidRDefault="00F81C58" w:rsidP="00754ED5">
            <w:pPr>
              <w:jc w:val="center"/>
              <w:rPr>
                <w:sz w:val="20"/>
                <w:szCs w:val="20"/>
              </w:rPr>
            </w:pPr>
            <w:r w:rsidRPr="00D20D69">
              <w:rPr>
                <w:sz w:val="20"/>
                <w:szCs w:val="20"/>
              </w:rPr>
              <w:t>5</w:t>
            </w:r>
          </w:p>
        </w:tc>
        <w:tc>
          <w:tcPr>
            <w:tcW w:w="993" w:type="dxa"/>
            <w:vAlign w:val="center"/>
          </w:tcPr>
          <w:p w:rsidR="00F81C58" w:rsidRPr="00D20D69" w:rsidRDefault="00F81C58" w:rsidP="00754ED5">
            <w:pPr>
              <w:jc w:val="center"/>
              <w:rPr>
                <w:sz w:val="20"/>
                <w:szCs w:val="20"/>
                <w:lang w:eastAsia="ar-SA"/>
              </w:rPr>
            </w:pPr>
            <w:r w:rsidRPr="00D20D69">
              <w:rPr>
                <w:sz w:val="20"/>
                <w:szCs w:val="20"/>
                <w:lang w:eastAsia="ar-SA"/>
              </w:rPr>
              <w:t>6</w:t>
            </w:r>
          </w:p>
        </w:tc>
        <w:tc>
          <w:tcPr>
            <w:tcW w:w="1253" w:type="dxa"/>
            <w:vAlign w:val="center"/>
          </w:tcPr>
          <w:p w:rsidR="00F81C58" w:rsidRPr="00D20D69" w:rsidRDefault="00F81C58" w:rsidP="00754ED5">
            <w:pPr>
              <w:jc w:val="center"/>
              <w:rPr>
                <w:sz w:val="20"/>
                <w:szCs w:val="20"/>
                <w:lang w:eastAsia="ar-SA"/>
              </w:rPr>
            </w:pPr>
            <w:r w:rsidRPr="00D20D69">
              <w:rPr>
                <w:sz w:val="20"/>
                <w:szCs w:val="20"/>
                <w:lang w:eastAsia="ar-SA"/>
              </w:rPr>
              <w:t>7</w:t>
            </w:r>
          </w:p>
        </w:tc>
      </w:tr>
      <w:tr w:rsidR="00F81C58" w:rsidRPr="00D20D69" w:rsidTr="001D3657">
        <w:trPr>
          <w:gridAfter w:val="1"/>
          <w:wAfter w:w="24" w:type="dxa"/>
          <w:jc w:val="center"/>
        </w:trPr>
        <w:tc>
          <w:tcPr>
            <w:tcW w:w="573" w:type="dxa"/>
            <w:shd w:val="clear" w:color="auto" w:fill="auto"/>
            <w:vAlign w:val="center"/>
          </w:tcPr>
          <w:p w:rsidR="00F81C58" w:rsidRPr="00D20D69" w:rsidRDefault="00F81C58" w:rsidP="00754ED5">
            <w:pPr>
              <w:jc w:val="center"/>
              <w:rPr>
                <w:sz w:val="20"/>
                <w:szCs w:val="20"/>
              </w:rPr>
            </w:pPr>
            <w:r w:rsidRPr="00D20D69">
              <w:rPr>
                <w:sz w:val="20"/>
                <w:szCs w:val="20"/>
              </w:rPr>
              <w:t>1</w:t>
            </w:r>
          </w:p>
        </w:tc>
        <w:tc>
          <w:tcPr>
            <w:tcW w:w="1069" w:type="dxa"/>
            <w:vAlign w:val="center"/>
          </w:tcPr>
          <w:p w:rsidR="00F81C58" w:rsidRPr="00D20D69" w:rsidRDefault="00933AFA" w:rsidP="00754ED5">
            <w:pPr>
              <w:pStyle w:val="11"/>
              <w:jc w:val="center"/>
              <w:rPr>
                <w:rFonts w:ascii="Times New Roman" w:hAnsi="Times New Roman" w:cs="Times New Roman"/>
                <w:sz w:val="20"/>
                <w:szCs w:val="20"/>
              </w:rPr>
            </w:pPr>
            <w:r>
              <w:rPr>
                <w:rFonts w:ascii="Times New Roman" w:hAnsi="Times New Roman" w:cs="Times New Roman"/>
                <w:sz w:val="20"/>
                <w:szCs w:val="20"/>
              </w:rPr>
              <w:t>22-17</w:t>
            </w:r>
          </w:p>
        </w:tc>
        <w:tc>
          <w:tcPr>
            <w:tcW w:w="1657" w:type="dxa"/>
            <w:shd w:val="clear" w:color="auto" w:fill="auto"/>
            <w:vAlign w:val="center"/>
          </w:tcPr>
          <w:p w:rsidR="00F81C58" w:rsidRPr="00D20D69" w:rsidRDefault="001D3657" w:rsidP="00754ED5">
            <w:pPr>
              <w:widowControl w:val="0"/>
              <w:suppressAutoHyphens/>
              <w:snapToGrid w:val="0"/>
              <w:jc w:val="center"/>
              <w:rPr>
                <w:sz w:val="20"/>
                <w:szCs w:val="20"/>
                <w:lang w:eastAsia="ar-SA"/>
              </w:rPr>
            </w:pPr>
            <w:r>
              <w:rPr>
                <w:sz w:val="20"/>
                <w:szCs w:val="20"/>
                <w:lang w:eastAsia="ar-SA"/>
              </w:rPr>
              <w:t>Гигиенические абсорбирующие изделия – подгузники для детей</w:t>
            </w:r>
          </w:p>
        </w:tc>
        <w:tc>
          <w:tcPr>
            <w:tcW w:w="3547" w:type="dxa"/>
            <w:shd w:val="clear" w:color="auto" w:fill="auto"/>
            <w:vAlign w:val="center"/>
          </w:tcPr>
          <w:p w:rsidR="00F81C58" w:rsidRPr="0062762E" w:rsidRDefault="001D3657" w:rsidP="00754ED5">
            <w:pPr>
              <w:jc w:val="both"/>
              <w:rPr>
                <w:sz w:val="20"/>
                <w:szCs w:val="20"/>
              </w:rPr>
            </w:pPr>
            <w:r w:rsidRPr="001D3657">
              <w:rPr>
                <w:sz w:val="20"/>
                <w:szCs w:val="20"/>
              </w:rPr>
              <w:t xml:space="preserve">Гигиенические абсорбирующие изделия. Подгузники для детей весом до 20 кг. Подгузники детские многослойные из нетканого материала с абсорбирующем слоем, содержащим </w:t>
            </w:r>
            <w:proofErr w:type="spellStart"/>
            <w:r w:rsidRPr="001D3657">
              <w:rPr>
                <w:sz w:val="20"/>
                <w:szCs w:val="20"/>
              </w:rPr>
              <w:t>гелеобразующие</w:t>
            </w:r>
            <w:proofErr w:type="spellEnd"/>
            <w:r w:rsidRPr="001D3657">
              <w:rPr>
                <w:sz w:val="20"/>
                <w:szCs w:val="20"/>
              </w:rPr>
              <w:t xml:space="preserve"> </w:t>
            </w:r>
            <w:proofErr w:type="spellStart"/>
            <w:r w:rsidRPr="001D3657">
              <w:rPr>
                <w:sz w:val="20"/>
                <w:szCs w:val="20"/>
              </w:rPr>
              <w:t>влагопоглащающие</w:t>
            </w:r>
            <w:proofErr w:type="spellEnd"/>
            <w:r w:rsidRPr="001D3657">
              <w:rPr>
                <w:sz w:val="20"/>
                <w:szCs w:val="20"/>
              </w:rPr>
              <w:t xml:space="preserve"> материалы (вещества); с боковыми дугообразными оборками с двух сторон, стянутыми резинками; с многоразовыми застежками-"липучками"; с полным влагопоглощением не менее 270 г.</w:t>
            </w:r>
          </w:p>
        </w:tc>
        <w:tc>
          <w:tcPr>
            <w:tcW w:w="993" w:type="dxa"/>
            <w:shd w:val="clear" w:color="auto" w:fill="auto"/>
            <w:vAlign w:val="center"/>
          </w:tcPr>
          <w:p w:rsidR="00F81C58" w:rsidRPr="00D20D69" w:rsidRDefault="001D3657" w:rsidP="00754ED5">
            <w:pPr>
              <w:jc w:val="center"/>
              <w:rPr>
                <w:sz w:val="20"/>
                <w:szCs w:val="20"/>
              </w:rPr>
            </w:pPr>
            <w:r>
              <w:rPr>
                <w:sz w:val="20"/>
                <w:szCs w:val="20"/>
              </w:rPr>
              <w:t>70 000</w:t>
            </w:r>
          </w:p>
        </w:tc>
        <w:tc>
          <w:tcPr>
            <w:tcW w:w="993" w:type="dxa"/>
            <w:vAlign w:val="center"/>
          </w:tcPr>
          <w:p w:rsidR="00F81C58" w:rsidRPr="00D20D69" w:rsidRDefault="001D3657" w:rsidP="00754ED5">
            <w:pPr>
              <w:jc w:val="center"/>
              <w:rPr>
                <w:sz w:val="20"/>
                <w:szCs w:val="20"/>
              </w:rPr>
            </w:pPr>
            <w:r>
              <w:rPr>
                <w:sz w:val="20"/>
                <w:szCs w:val="20"/>
              </w:rPr>
              <w:t>13,15</w:t>
            </w:r>
          </w:p>
        </w:tc>
        <w:tc>
          <w:tcPr>
            <w:tcW w:w="1253" w:type="dxa"/>
            <w:vAlign w:val="center"/>
          </w:tcPr>
          <w:p w:rsidR="00F81C58" w:rsidRPr="00D20D69" w:rsidRDefault="001D3657" w:rsidP="001D3657">
            <w:pPr>
              <w:jc w:val="center"/>
              <w:rPr>
                <w:sz w:val="20"/>
                <w:szCs w:val="20"/>
              </w:rPr>
            </w:pPr>
            <w:r>
              <w:rPr>
                <w:sz w:val="20"/>
                <w:szCs w:val="20"/>
              </w:rPr>
              <w:t>920500,00</w:t>
            </w:r>
          </w:p>
        </w:tc>
      </w:tr>
      <w:tr w:rsidR="00F81C58" w:rsidRPr="00D20D69" w:rsidTr="001D3657">
        <w:trPr>
          <w:gridAfter w:val="1"/>
          <w:wAfter w:w="24" w:type="dxa"/>
          <w:jc w:val="center"/>
        </w:trPr>
        <w:tc>
          <w:tcPr>
            <w:tcW w:w="573" w:type="dxa"/>
            <w:shd w:val="clear" w:color="auto" w:fill="auto"/>
            <w:vAlign w:val="center"/>
          </w:tcPr>
          <w:p w:rsidR="00F81C58" w:rsidRPr="00D20D69" w:rsidRDefault="00F81C58" w:rsidP="00754ED5">
            <w:pPr>
              <w:jc w:val="center"/>
              <w:rPr>
                <w:sz w:val="20"/>
                <w:szCs w:val="20"/>
              </w:rPr>
            </w:pPr>
            <w:r w:rsidRPr="00D20D69">
              <w:rPr>
                <w:sz w:val="20"/>
                <w:szCs w:val="20"/>
              </w:rPr>
              <w:t>2</w:t>
            </w:r>
          </w:p>
        </w:tc>
        <w:tc>
          <w:tcPr>
            <w:tcW w:w="1069" w:type="dxa"/>
            <w:vAlign w:val="center"/>
          </w:tcPr>
          <w:p w:rsidR="00F81C58" w:rsidRPr="00D20D69" w:rsidRDefault="00933AFA" w:rsidP="00754ED5">
            <w:pPr>
              <w:pStyle w:val="11"/>
              <w:jc w:val="center"/>
              <w:rPr>
                <w:rFonts w:ascii="Times New Roman" w:hAnsi="Times New Roman" w:cs="Times New Roman"/>
                <w:sz w:val="20"/>
                <w:szCs w:val="20"/>
              </w:rPr>
            </w:pPr>
            <w:r>
              <w:rPr>
                <w:rFonts w:ascii="Times New Roman" w:hAnsi="Times New Roman" w:cs="Times New Roman"/>
                <w:sz w:val="20"/>
                <w:szCs w:val="20"/>
              </w:rPr>
              <w:t>22-18</w:t>
            </w:r>
          </w:p>
        </w:tc>
        <w:tc>
          <w:tcPr>
            <w:tcW w:w="1657" w:type="dxa"/>
            <w:shd w:val="clear" w:color="auto" w:fill="auto"/>
            <w:vAlign w:val="center"/>
          </w:tcPr>
          <w:p w:rsidR="00F81C58" w:rsidRPr="00D20D69" w:rsidRDefault="00933AFA" w:rsidP="00754ED5">
            <w:pPr>
              <w:widowControl w:val="0"/>
              <w:suppressAutoHyphens/>
              <w:snapToGrid w:val="0"/>
              <w:jc w:val="center"/>
              <w:rPr>
                <w:sz w:val="20"/>
                <w:szCs w:val="20"/>
                <w:lang w:eastAsia="ar-SA"/>
              </w:rPr>
            </w:pPr>
            <w:r>
              <w:rPr>
                <w:sz w:val="20"/>
                <w:szCs w:val="20"/>
                <w:lang w:eastAsia="ar-SA"/>
              </w:rPr>
              <w:t>Гигиенические абсорбирующие изделия – подгузники для детей</w:t>
            </w:r>
          </w:p>
        </w:tc>
        <w:tc>
          <w:tcPr>
            <w:tcW w:w="3547" w:type="dxa"/>
            <w:shd w:val="clear" w:color="auto" w:fill="auto"/>
            <w:vAlign w:val="center"/>
          </w:tcPr>
          <w:p w:rsidR="00F81C58" w:rsidRPr="0062762E" w:rsidRDefault="00933AFA" w:rsidP="00754ED5">
            <w:pPr>
              <w:jc w:val="both"/>
              <w:rPr>
                <w:sz w:val="20"/>
                <w:szCs w:val="20"/>
              </w:rPr>
            </w:pPr>
            <w:r w:rsidRPr="00933AFA">
              <w:rPr>
                <w:sz w:val="20"/>
                <w:szCs w:val="20"/>
              </w:rPr>
              <w:t xml:space="preserve">Гигиенические абсорбирующие изделия. Подгузники для детей весом свыше 20 кг. Подгузники детские многослойные из нетканого материала с абсорбирующем слоем, содержащим </w:t>
            </w:r>
            <w:proofErr w:type="spellStart"/>
            <w:r w:rsidRPr="00933AFA">
              <w:rPr>
                <w:sz w:val="20"/>
                <w:szCs w:val="20"/>
              </w:rPr>
              <w:t>гелеобразующие</w:t>
            </w:r>
            <w:proofErr w:type="spellEnd"/>
            <w:r w:rsidRPr="00933AFA">
              <w:rPr>
                <w:sz w:val="20"/>
                <w:szCs w:val="20"/>
              </w:rPr>
              <w:t xml:space="preserve"> </w:t>
            </w:r>
            <w:proofErr w:type="spellStart"/>
            <w:r w:rsidRPr="00933AFA">
              <w:rPr>
                <w:sz w:val="20"/>
                <w:szCs w:val="20"/>
              </w:rPr>
              <w:t>влагопоглащающие</w:t>
            </w:r>
            <w:proofErr w:type="spellEnd"/>
            <w:r w:rsidRPr="00933AFA">
              <w:rPr>
                <w:sz w:val="20"/>
                <w:szCs w:val="20"/>
              </w:rPr>
              <w:t xml:space="preserve"> материалы (вещества); с боковыми дугообразными оборками с двух сторон, стянутыми резинками; с многоразовыми застежками-"липучками"; с полным влагопоглощением не менее 280 г. Предельно допустимая масса ребенка, указанная в маркировке подгузника, должна быть не менее 30 кг.</w:t>
            </w:r>
          </w:p>
        </w:tc>
        <w:tc>
          <w:tcPr>
            <w:tcW w:w="993" w:type="dxa"/>
            <w:shd w:val="clear" w:color="auto" w:fill="auto"/>
            <w:vAlign w:val="center"/>
          </w:tcPr>
          <w:p w:rsidR="00F81C58" w:rsidRPr="00D20D69" w:rsidRDefault="001D3657" w:rsidP="00754ED5">
            <w:pPr>
              <w:jc w:val="center"/>
              <w:rPr>
                <w:sz w:val="20"/>
                <w:szCs w:val="20"/>
              </w:rPr>
            </w:pPr>
            <w:r>
              <w:rPr>
                <w:sz w:val="20"/>
                <w:szCs w:val="20"/>
              </w:rPr>
              <w:t>150 000</w:t>
            </w:r>
          </w:p>
        </w:tc>
        <w:tc>
          <w:tcPr>
            <w:tcW w:w="993" w:type="dxa"/>
            <w:vAlign w:val="center"/>
          </w:tcPr>
          <w:p w:rsidR="00F81C58" w:rsidRPr="00D20D69" w:rsidRDefault="001D3657" w:rsidP="00754ED5">
            <w:pPr>
              <w:jc w:val="center"/>
              <w:rPr>
                <w:sz w:val="20"/>
                <w:szCs w:val="20"/>
              </w:rPr>
            </w:pPr>
            <w:r>
              <w:rPr>
                <w:sz w:val="20"/>
                <w:szCs w:val="20"/>
              </w:rPr>
              <w:t>13,84</w:t>
            </w:r>
          </w:p>
        </w:tc>
        <w:tc>
          <w:tcPr>
            <w:tcW w:w="1253" w:type="dxa"/>
            <w:vAlign w:val="center"/>
          </w:tcPr>
          <w:p w:rsidR="00F81C58" w:rsidRPr="00D20D69" w:rsidRDefault="001D3657" w:rsidP="001D3657">
            <w:pPr>
              <w:jc w:val="center"/>
              <w:rPr>
                <w:sz w:val="20"/>
                <w:szCs w:val="20"/>
              </w:rPr>
            </w:pPr>
            <w:r>
              <w:rPr>
                <w:sz w:val="20"/>
                <w:szCs w:val="20"/>
              </w:rPr>
              <w:t>2076000,00</w:t>
            </w:r>
          </w:p>
        </w:tc>
      </w:tr>
      <w:tr w:rsidR="001D3657" w:rsidRPr="00D20D69" w:rsidTr="001D3657">
        <w:trPr>
          <w:jc w:val="center"/>
        </w:trPr>
        <w:tc>
          <w:tcPr>
            <w:tcW w:w="6846" w:type="dxa"/>
            <w:gridSpan w:val="4"/>
            <w:vAlign w:val="center"/>
          </w:tcPr>
          <w:p w:rsidR="001D3657" w:rsidRPr="00D20D69" w:rsidRDefault="001D3657" w:rsidP="003B6F4E">
            <w:pPr>
              <w:jc w:val="right"/>
              <w:rPr>
                <w:b/>
                <w:sz w:val="20"/>
                <w:szCs w:val="20"/>
              </w:rPr>
            </w:pPr>
            <w:r w:rsidRPr="00D20D69">
              <w:rPr>
                <w:b/>
                <w:sz w:val="20"/>
                <w:szCs w:val="20"/>
              </w:rPr>
              <w:t>Итого</w:t>
            </w:r>
          </w:p>
        </w:tc>
        <w:tc>
          <w:tcPr>
            <w:tcW w:w="993" w:type="dxa"/>
            <w:shd w:val="clear" w:color="auto" w:fill="auto"/>
            <w:vAlign w:val="center"/>
          </w:tcPr>
          <w:p w:rsidR="001D3657" w:rsidRPr="00D20D69" w:rsidRDefault="001D3657" w:rsidP="003B6F4E">
            <w:pPr>
              <w:jc w:val="center"/>
              <w:rPr>
                <w:b/>
                <w:sz w:val="20"/>
                <w:szCs w:val="20"/>
              </w:rPr>
            </w:pPr>
            <w:r>
              <w:rPr>
                <w:b/>
                <w:sz w:val="20"/>
                <w:szCs w:val="20"/>
              </w:rPr>
              <w:t>220000</w:t>
            </w:r>
          </w:p>
        </w:tc>
        <w:tc>
          <w:tcPr>
            <w:tcW w:w="993" w:type="dxa"/>
            <w:vAlign w:val="center"/>
          </w:tcPr>
          <w:p w:rsidR="001D3657" w:rsidRPr="00D20D69" w:rsidRDefault="001D3657" w:rsidP="003B6F4E">
            <w:pPr>
              <w:jc w:val="center"/>
              <w:rPr>
                <w:b/>
                <w:sz w:val="20"/>
                <w:szCs w:val="20"/>
              </w:rPr>
            </w:pPr>
            <w:r w:rsidRPr="00D20D69">
              <w:rPr>
                <w:b/>
                <w:sz w:val="20"/>
                <w:szCs w:val="20"/>
              </w:rPr>
              <w:t>х</w:t>
            </w:r>
          </w:p>
        </w:tc>
        <w:tc>
          <w:tcPr>
            <w:tcW w:w="1277" w:type="dxa"/>
            <w:gridSpan w:val="2"/>
            <w:vAlign w:val="center"/>
          </w:tcPr>
          <w:p w:rsidR="001D3657" w:rsidRPr="00D20D69" w:rsidRDefault="001D3657" w:rsidP="003B6F4E">
            <w:pPr>
              <w:jc w:val="center"/>
              <w:rPr>
                <w:b/>
                <w:sz w:val="20"/>
                <w:szCs w:val="20"/>
              </w:rPr>
            </w:pPr>
            <w:r>
              <w:rPr>
                <w:b/>
                <w:sz w:val="20"/>
                <w:szCs w:val="20"/>
              </w:rPr>
              <w:t>2996500,00</w:t>
            </w:r>
          </w:p>
        </w:tc>
      </w:tr>
    </w:tbl>
    <w:p w:rsidR="00D450AD" w:rsidRDefault="00D450AD" w:rsidP="00D450AD">
      <w:pPr>
        <w:widowControl w:val="0"/>
        <w:autoSpaceDE w:val="0"/>
        <w:ind w:firstLine="540"/>
        <w:jc w:val="both"/>
      </w:pPr>
    </w:p>
    <w:p w:rsidR="00D450AD" w:rsidRDefault="00D450AD" w:rsidP="00D450AD">
      <w:pPr>
        <w:widowControl w:val="0"/>
        <w:autoSpaceDE w:val="0"/>
        <w:ind w:firstLine="540"/>
        <w:jc w:val="both"/>
        <w:rPr>
          <w:szCs w:val="23"/>
        </w:rPr>
      </w:pPr>
      <w:r>
        <w:t xml:space="preserve">Гигиенические абсорбирующие изделия - подгузники для детей (далее – подгузники) должны иметь действующие регистрационные удостоверения на медицинские изделия или свидетельства о государственной регистрации, подтверждающие безопасность подгузников в части их соответствия санитарно-эпидемиологическим и гигиеническим требованиям, а также </w:t>
      </w:r>
      <w:r>
        <w:rPr>
          <w:szCs w:val="23"/>
        </w:rPr>
        <w:t>декларации о соответствии, которые считаются действительными согласно Постановлению Правительства Российской Федерации от 01.12.2009г. № 982.</w:t>
      </w:r>
    </w:p>
    <w:p w:rsidR="00D450AD" w:rsidRDefault="00D450AD" w:rsidP="00D450AD">
      <w:pPr>
        <w:widowControl w:val="0"/>
        <w:tabs>
          <w:tab w:val="left" w:pos="708"/>
        </w:tabs>
        <w:ind w:firstLine="540"/>
        <w:jc w:val="both"/>
        <w:rPr>
          <w:szCs w:val="28"/>
        </w:rPr>
      </w:pPr>
      <w:r>
        <w:rPr>
          <w:szCs w:val="28"/>
        </w:rPr>
        <w:t>В подгузниках не допускаются механические повреждения (разрыв краев, разрезы и т.п.), пятна различного происхождения, посторонние включения.</w:t>
      </w:r>
    </w:p>
    <w:p w:rsidR="00D450AD" w:rsidRDefault="00D450AD" w:rsidP="00D450AD">
      <w:pPr>
        <w:widowControl w:val="0"/>
        <w:ind w:firstLine="540"/>
        <w:jc w:val="both"/>
        <w:rPr>
          <w:szCs w:val="28"/>
        </w:rPr>
      </w:pPr>
      <w:r>
        <w:rPr>
          <w:szCs w:val="28"/>
        </w:rPr>
        <w:t xml:space="preserve">Печатное изображение на подгузниках должно быть четким, без искажений и пробелов. Не допускаются следы </w:t>
      </w:r>
      <w:proofErr w:type="spellStart"/>
      <w:r>
        <w:rPr>
          <w:szCs w:val="28"/>
        </w:rPr>
        <w:t>выщипывания</w:t>
      </w:r>
      <w:proofErr w:type="spellEnd"/>
      <w:r>
        <w:rPr>
          <w:szCs w:val="28"/>
        </w:rPr>
        <w:t xml:space="preserve"> волокон с поверхности подгузника и </w:t>
      </w:r>
      <w:proofErr w:type="spellStart"/>
      <w:r>
        <w:rPr>
          <w:szCs w:val="28"/>
        </w:rPr>
        <w:t>отмарывания</w:t>
      </w:r>
      <w:proofErr w:type="spellEnd"/>
      <w:r>
        <w:rPr>
          <w:szCs w:val="28"/>
        </w:rPr>
        <w:t xml:space="preserve"> краски.</w:t>
      </w:r>
    </w:p>
    <w:p w:rsidR="00D450AD" w:rsidRDefault="00D450AD" w:rsidP="00D450AD">
      <w:pPr>
        <w:ind w:firstLine="567"/>
        <w:jc w:val="both"/>
      </w:pPr>
      <w:r>
        <w:t>Подгузники должны соответствовать требованиям ГОСТ Р 52557-2011 «Подгузники детские бумажные. Общие технические условия».</w:t>
      </w:r>
    </w:p>
    <w:p w:rsidR="00D450AD" w:rsidRDefault="00D450AD" w:rsidP="00D450AD">
      <w:pPr>
        <w:ind w:firstLine="567"/>
        <w:jc w:val="both"/>
      </w:pPr>
      <w:r>
        <w:t>Маркировка должна быть достоверной, проверяемой и читаемой.</w:t>
      </w:r>
    </w:p>
    <w:p w:rsidR="00D450AD" w:rsidRDefault="00D450AD" w:rsidP="00D450AD">
      <w:pPr>
        <w:ind w:firstLine="567"/>
        <w:jc w:val="both"/>
      </w:pPr>
      <w:r>
        <w:t>Маркировка упаковки подгузников должна включать:</w:t>
      </w:r>
    </w:p>
    <w:p w:rsidR="00D450AD" w:rsidRDefault="00D450AD" w:rsidP="00D450AD">
      <w:pPr>
        <w:ind w:firstLine="142"/>
        <w:jc w:val="both"/>
      </w:pPr>
      <w:r>
        <w:lastRenderedPageBreak/>
        <w:t>- условное обозначение возрастной группы подгузника, размеры, предельно допустимую массу ребенка, номер подгузника;</w:t>
      </w:r>
    </w:p>
    <w:p w:rsidR="00D450AD" w:rsidRDefault="00D450AD" w:rsidP="00D450AD">
      <w:pPr>
        <w:ind w:firstLine="142"/>
        <w:jc w:val="both"/>
      </w:pPr>
      <w:r>
        <w:t>- вид (вариант) технического исполнения подгузника;</w:t>
      </w:r>
    </w:p>
    <w:p w:rsidR="00D450AD" w:rsidRDefault="00D450AD" w:rsidP="00D450AD">
      <w:pPr>
        <w:pStyle w:val="2-11"/>
        <w:widowControl w:val="0"/>
        <w:tabs>
          <w:tab w:val="left" w:pos="708"/>
        </w:tabs>
        <w:spacing w:after="0"/>
        <w:ind w:firstLine="180"/>
        <w:rPr>
          <w:szCs w:val="28"/>
        </w:rPr>
      </w:pPr>
      <w:r>
        <w:rPr>
          <w:szCs w:val="28"/>
        </w:rPr>
        <w:t>- наименование страны-изготовителя, наименование и местонахождение предприятия-изготовителя, товарный знак (при наличии);</w:t>
      </w:r>
    </w:p>
    <w:p w:rsidR="00D450AD" w:rsidRDefault="00D450AD" w:rsidP="00D450AD">
      <w:pPr>
        <w:widowControl w:val="0"/>
        <w:tabs>
          <w:tab w:val="left" w:pos="708"/>
        </w:tabs>
        <w:ind w:firstLine="180"/>
        <w:jc w:val="both"/>
        <w:rPr>
          <w:szCs w:val="28"/>
        </w:rPr>
      </w:pPr>
      <w:r>
        <w:rPr>
          <w:szCs w:val="28"/>
        </w:rPr>
        <w:t>- отличительные характеристики изделий в соответствии с их техническим исполнением (при наличии);</w:t>
      </w:r>
    </w:p>
    <w:p w:rsidR="00D450AD" w:rsidRDefault="00D450AD" w:rsidP="00D450AD">
      <w:pPr>
        <w:widowControl w:val="0"/>
        <w:tabs>
          <w:tab w:val="left" w:pos="708"/>
        </w:tabs>
        <w:ind w:firstLine="180"/>
        <w:jc w:val="both"/>
        <w:rPr>
          <w:szCs w:val="28"/>
        </w:rPr>
      </w:pPr>
      <w:r>
        <w:rPr>
          <w:szCs w:val="28"/>
        </w:rPr>
        <w:t>- номер артикула (при наличии);</w:t>
      </w:r>
    </w:p>
    <w:p w:rsidR="00D450AD" w:rsidRDefault="00D450AD" w:rsidP="00D450AD">
      <w:pPr>
        <w:widowControl w:val="0"/>
        <w:tabs>
          <w:tab w:val="left" w:pos="708"/>
        </w:tabs>
        <w:ind w:firstLine="180"/>
        <w:jc w:val="both"/>
        <w:rPr>
          <w:szCs w:val="28"/>
        </w:rPr>
      </w:pPr>
      <w:r>
        <w:rPr>
          <w:szCs w:val="28"/>
        </w:rPr>
        <w:t>- количество подгузников в упаковке;</w:t>
      </w:r>
    </w:p>
    <w:p w:rsidR="00D450AD" w:rsidRDefault="00D450AD" w:rsidP="00D450AD">
      <w:pPr>
        <w:widowControl w:val="0"/>
        <w:tabs>
          <w:tab w:val="left" w:pos="708"/>
        </w:tabs>
        <w:ind w:firstLine="180"/>
        <w:jc w:val="both"/>
        <w:rPr>
          <w:szCs w:val="28"/>
        </w:rPr>
      </w:pPr>
      <w:r>
        <w:rPr>
          <w:szCs w:val="28"/>
        </w:rPr>
        <w:t>- дату (месяц, год) изготовления;</w:t>
      </w:r>
    </w:p>
    <w:p w:rsidR="00D450AD" w:rsidRDefault="00D450AD" w:rsidP="00D450AD">
      <w:pPr>
        <w:widowControl w:val="0"/>
        <w:tabs>
          <w:tab w:val="left" w:pos="708"/>
        </w:tabs>
        <w:ind w:firstLine="180"/>
        <w:jc w:val="both"/>
        <w:rPr>
          <w:szCs w:val="28"/>
        </w:rPr>
      </w:pPr>
      <w:r>
        <w:rPr>
          <w:szCs w:val="28"/>
        </w:rPr>
        <w:t>- срок годности, устанавливаемый изготовителем;</w:t>
      </w:r>
    </w:p>
    <w:p w:rsidR="00D450AD" w:rsidRDefault="00D450AD" w:rsidP="00D450AD">
      <w:pPr>
        <w:widowControl w:val="0"/>
        <w:tabs>
          <w:tab w:val="left" w:pos="708"/>
        </w:tabs>
        <w:ind w:firstLine="180"/>
        <w:jc w:val="both"/>
        <w:rPr>
          <w:szCs w:val="28"/>
        </w:rPr>
      </w:pPr>
      <w:r>
        <w:rPr>
          <w:szCs w:val="28"/>
        </w:rPr>
        <w:t>- указания по утилизации: слова «Не бросать в канализацию» и (или) рисунок, понятно отображающий эти указания;</w:t>
      </w:r>
    </w:p>
    <w:p w:rsidR="00D450AD" w:rsidRDefault="00D450AD" w:rsidP="00D450AD">
      <w:pPr>
        <w:widowControl w:val="0"/>
        <w:tabs>
          <w:tab w:val="left" w:pos="708"/>
        </w:tabs>
        <w:ind w:firstLine="180"/>
        <w:jc w:val="both"/>
        <w:rPr>
          <w:szCs w:val="28"/>
        </w:rPr>
      </w:pPr>
      <w:r>
        <w:rPr>
          <w:szCs w:val="28"/>
        </w:rPr>
        <w:t>- правила по применению (при необходимости);</w:t>
      </w:r>
    </w:p>
    <w:p w:rsidR="00D450AD" w:rsidRDefault="00D450AD" w:rsidP="00D450AD">
      <w:pPr>
        <w:widowControl w:val="0"/>
        <w:tabs>
          <w:tab w:val="left" w:pos="708"/>
        </w:tabs>
        <w:ind w:firstLine="180"/>
        <w:jc w:val="both"/>
        <w:rPr>
          <w:szCs w:val="28"/>
        </w:rPr>
      </w:pPr>
      <w:r>
        <w:rPr>
          <w:szCs w:val="28"/>
        </w:rPr>
        <w:t>- штриховой код изделия (при наличии);</w:t>
      </w:r>
    </w:p>
    <w:p w:rsidR="00D450AD" w:rsidRDefault="00D450AD" w:rsidP="00D450AD">
      <w:pPr>
        <w:widowControl w:val="0"/>
        <w:tabs>
          <w:tab w:val="left" w:pos="708"/>
        </w:tabs>
        <w:ind w:firstLine="180"/>
        <w:jc w:val="both"/>
        <w:rPr>
          <w:szCs w:val="28"/>
        </w:rPr>
      </w:pPr>
      <w:r>
        <w:rPr>
          <w:szCs w:val="28"/>
        </w:rPr>
        <w:t>- информацию о сертификации (при наличии).</w:t>
      </w:r>
    </w:p>
    <w:p w:rsidR="00D450AD" w:rsidRDefault="00D450AD" w:rsidP="00D450AD">
      <w:pPr>
        <w:ind w:firstLine="420"/>
        <w:jc w:val="both"/>
      </w:pPr>
      <w:r>
        <w:t xml:space="preserve">Сырье и материалы, применяемые для изготовления </w:t>
      </w:r>
      <w:r>
        <w:rPr>
          <w:szCs w:val="28"/>
        </w:rPr>
        <w:t xml:space="preserve">подгузников, </w:t>
      </w:r>
      <w:r>
        <w:t>должны быть разрешены к применению Федеральной службой по надзору в сфере защиты прав потребителей и благополучия человека, а также должны соответствовать требованиям действующих стандартов.</w:t>
      </w:r>
    </w:p>
    <w:p w:rsidR="00D450AD" w:rsidRDefault="00D450AD" w:rsidP="00D450AD">
      <w:pPr>
        <w:widowControl w:val="0"/>
        <w:ind w:firstLine="420"/>
        <w:jc w:val="both"/>
        <w:rPr>
          <w:szCs w:val="26"/>
        </w:rPr>
      </w:pPr>
      <w:r>
        <w:t xml:space="preserve">Подгузники </w:t>
      </w:r>
      <w:r>
        <w:rPr>
          <w:szCs w:val="26"/>
        </w:rPr>
        <w:t xml:space="preserve">должны быть </w:t>
      </w:r>
      <w:r>
        <w:t>новыми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Pr>
          <w:szCs w:val="26"/>
        </w:rPr>
        <w:t>,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w:t>
      </w:r>
    </w:p>
    <w:p w:rsidR="00D450AD" w:rsidRDefault="00D450AD" w:rsidP="00D450AD">
      <w:pPr>
        <w:pStyle w:val="2-11"/>
        <w:widowControl w:val="0"/>
        <w:autoSpaceDE w:val="0"/>
        <w:spacing w:after="0"/>
        <w:ind w:firstLine="420"/>
      </w:pPr>
      <w:r>
        <w:t xml:space="preserve">Остаточный срок годности подгузников должен составлять не менее 1 (Одного) года со дня подписания Акта приема-передачи технического средства реабилитации (Товара) ребенком (далее – Получатель). </w:t>
      </w:r>
    </w:p>
    <w:p w:rsidR="00D450AD" w:rsidRDefault="00D450AD" w:rsidP="00D450AD">
      <w:pPr>
        <w:ind w:firstLine="420"/>
        <w:jc w:val="both"/>
      </w:pPr>
      <w:r>
        <w:t xml:space="preserve">В случае предъявления претензий Получателей к качеству </w:t>
      </w:r>
      <w:proofErr w:type="gramStart"/>
      <w:r>
        <w:t>полученных  подгузников</w:t>
      </w:r>
      <w:proofErr w:type="gramEnd"/>
      <w:r>
        <w:t>, Поставщик в течение 10 (Десяти) рабочих дней со дня обращения Получателя обязан произвести замену имеющих недостатки или дефекты (брак) подгузников на аналогичные надлежащего качества. Замена должна производиться Поставщиком за счет собственных средств по месту жительства (дом, квартира) Получателя.</w:t>
      </w:r>
    </w:p>
    <w:p w:rsidR="00D450AD" w:rsidRDefault="00D450AD" w:rsidP="00D450AD">
      <w:pPr>
        <w:pStyle w:val="a3"/>
        <w:jc w:val="right"/>
        <w:rPr>
          <w:sz w:val="24"/>
          <w:szCs w:val="24"/>
        </w:rPr>
      </w:pPr>
    </w:p>
    <w:p w:rsidR="00D450AD" w:rsidRDefault="00D450AD" w:rsidP="00D450AD">
      <w:pPr>
        <w:pStyle w:val="a3"/>
        <w:jc w:val="center"/>
        <w:rPr>
          <w:sz w:val="24"/>
          <w:szCs w:val="24"/>
        </w:rPr>
      </w:pPr>
      <w:r>
        <w:rPr>
          <w:sz w:val="24"/>
          <w:szCs w:val="24"/>
        </w:rPr>
        <w:t>Условия исполнения контракта Поставщиком</w:t>
      </w:r>
    </w:p>
    <w:p w:rsidR="00D450AD" w:rsidRDefault="00D450AD" w:rsidP="00D450AD">
      <w:pPr>
        <w:autoSpaceDE w:val="0"/>
        <w:ind w:firstLine="426"/>
        <w:jc w:val="both"/>
      </w:pPr>
      <w:r>
        <w:t>1. Поставка подгузников должна осуществляться в упаковке, обеспечивающей их сохранность, защиту от повреждений, порчи (изнашивания), или загрязнения, от воздействия механических и климатических факторов в индивидуальной упаковке, защищающей от повреждений и воздействия внешней среды во время доставки до места жительства (дом, квартира) Получателя или до пункта выдачи.</w:t>
      </w:r>
    </w:p>
    <w:p w:rsidR="00D450AD" w:rsidRDefault="00D450AD" w:rsidP="00D450AD">
      <w:pPr>
        <w:autoSpaceDE w:val="0"/>
        <w:ind w:firstLine="426"/>
        <w:jc w:val="both"/>
      </w:pPr>
      <w:r>
        <w:t>2. Транспортировка подгузников должна осуществляться любым видом крытого транспорта в соответствии с правилами перевозки грузов, действующими на данном виде транспорта.</w:t>
      </w:r>
    </w:p>
    <w:p w:rsidR="00D450AD" w:rsidRDefault="00D450AD" w:rsidP="00D450AD">
      <w:pPr>
        <w:ind w:firstLine="420"/>
        <w:jc w:val="both"/>
      </w:pPr>
      <w:r>
        <w:t xml:space="preserve">3. Поставщиком </w:t>
      </w:r>
      <w:r w:rsidR="00A671F2">
        <w:t>должно быть</w:t>
      </w:r>
      <w:r>
        <w:t xml:space="preserve"> осуществлено обязательное обеспечение инструктажа Получателей и консультативной помощи по правильному пользованию подгузниками.</w:t>
      </w:r>
    </w:p>
    <w:p w:rsidR="00D450AD" w:rsidRDefault="00D450AD" w:rsidP="00D450AD">
      <w:pPr>
        <w:ind w:firstLine="420"/>
        <w:jc w:val="both"/>
      </w:pPr>
      <w:r>
        <w:t xml:space="preserve">4. Доставка подгузников должна осуществляться до места жительства (дом, </w:t>
      </w:r>
      <w:proofErr w:type="gramStart"/>
      <w:r>
        <w:t>квартира)  Получателя</w:t>
      </w:r>
      <w:proofErr w:type="gramEnd"/>
      <w:r>
        <w:t>, либо по согласованию с Получателем, выдача подгузников должна осуществляться</w:t>
      </w:r>
      <w:r>
        <w:rPr>
          <w:spacing w:val="-6"/>
        </w:rPr>
        <w:t xml:space="preserve"> по месту нахождения организованного Поставщиком пункта выдачи</w:t>
      </w:r>
      <w:r>
        <w:t xml:space="preserve"> подгузников (далее – пункт выдачи).</w:t>
      </w:r>
    </w:p>
    <w:p w:rsidR="00D450AD" w:rsidRDefault="00D450AD" w:rsidP="00D450AD">
      <w:pPr>
        <w:tabs>
          <w:tab w:val="left" w:pos="9724"/>
        </w:tabs>
        <w:ind w:right="10" w:firstLine="426"/>
        <w:jc w:val="both"/>
      </w:pPr>
      <w:r>
        <w:lastRenderedPageBreak/>
        <w:t>Поставщик должен согласовать с Получателем способ доставки подгузников не позднее 2 (Двух) календарных дней со дня получения от Заказчика Списка Получателей, которым Заказчик выдал направления, с соответствующей регистрацией выбранного Получателем способа доставки в регистрационном журнале.</w:t>
      </w:r>
    </w:p>
    <w:p w:rsidR="00D450AD" w:rsidRDefault="00D450AD" w:rsidP="00D450AD">
      <w:pPr>
        <w:tabs>
          <w:tab w:val="left" w:pos="9724"/>
        </w:tabs>
        <w:ind w:right="10" w:firstLine="426"/>
        <w:jc w:val="both"/>
      </w:pPr>
      <w:r>
        <w:t>4.1. Доставка подгузников должна быть осуществлена до места жительства (дом, квартира) Получателя в течение 20 (Двадцати) календарных дней со дня получения списка Получателей, которым Заказчик выдал направления, а в случае отсутствия Получателя в списке, в течение 20 (Двадцати) календарных дней со дня получения от Получателя направления Заказчика.</w:t>
      </w:r>
    </w:p>
    <w:p w:rsidR="00D450AD" w:rsidRDefault="00D450AD" w:rsidP="00D450AD">
      <w:pPr>
        <w:widowControl w:val="0"/>
        <w:ind w:firstLine="420"/>
        <w:jc w:val="both"/>
        <w:rPr>
          <w:bCs/>
        </w:rPr>
      </w:pPr>
      <w:r>
        <w:t>О предстоящей доставке подгузников до места жительства (дом, квартира) Получателя Поставщик должен уведомить Получателя</w:t>
      </w:r>
      <w:r>
        <w:rPr>
          <w:bCs/>
        </w:rPr>
        <w:t xml:space="preserve"> не позднее, чем за 2 (Два) календарных дня до предполагаемой даты доставки.</w:t>
      </w:r>
    </w:p>
    <w:p w:rsidR="00D450AD" w:rsidRDefault="00D450AD" w:rsidP="00D450AD">
      <w:pPr>
        <w:widowControl w:val="0"/>
        <w:ind w:firstLine="420"/>
        <w:jc w:val="both"/>
      </w:pPr>
      <w:r>
        <w:t xml:space="preserve">Доставка </w:t>
      </w:r>
      <w:r>
        <w:rPr>
          <w:bCs/>
        </w:rPr>
        <w:t>подгузников</w:t>
      </w:r>
      <w:r>
        <w:t xml:space="preserve"> до места жительства (дом, квартира) Получателя должна осуществляться ежедневно не ранее 08 часов 00 минут и не позднее 22 часов 00 минут.  </w:t>
      </w:r>
    </w:p>
    <w:p w:rsidR="00D450AD" w:rsidRDefault="00D450AD" w:rsidP="00D450AD">
      <w:pPr>
        <w:tabs>
          <w:tab w:val="left" w:pos="9724"/>
        </w:tabs>
        <w:ind w:right="10" w:firstLine="426"/>
        <w:jc w:val="both"/>
        <w:rPr>
          <w:color w:val="000000"/>
        </w:rPr>
      </w:pPr>
      <w:r>
        <w:t xml:space="preserve">4.2. </w:t>
      </w:r>
      <w:r>
        <w:rPr>
          <w:color w:val="000000"/>
        </w:rPr>
        <w:t xml:space="preserve">Выдача подгузников </w:t>
      </w:r>
      <w:r>
        <w:rPr>
          <w:bCs/>
          <w:color w:val="000000"/>
        </w:rPr>
        <w:t xml:space="preserve">в пункте выдачи должна осуществляться </w:t>
      </w:r>
      <w:r>
        <w:t xml:space="preserve">с соответствующей регистрацией выбранного Получателем способа доставки в регистрационном журнале. </w:t>
      </w:r>
    </w:p>
    <w:p w:rsidR="00D450AD" w:rsidRDefault="00D450AD" w:rsidP="00D450AD">
      <w:pPr>
        <w:tabs>
          <w:tab w:val="left" w:pos="9724"/>
        </w:tabs>
        <w:ind w:right="10" w:firstLine="426"/>
        <w:jc w:val="both"/>
        <w:rPr>
          <w:color w:val="000000"/>
        </w:rPr>
      </w:pPr>
      <w:r>
        <w:rPr>
          <w:color w:val="000000"/>
        </w:rPr>
        <w:t>4.3. В случае самостоятельного обращения к Поставщику подгузники должны быть выданы в день обращения Получателю либо лицу, представляющему его интересы на основании документа, подтверждающего его полномочия и направления, выданного Заказчиком.</w:t>
      </w:r>
    </w:p>
    <w:p w:rsidR="00D450AD" w:rsidRDefault="00D450AD" w:rsidP="00D450AD">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4.4. Свободный доступ Получателя</w:t>
      </w:r>
      <w:r>
        <w:rPr>
          <w:color w:val="000000"/>
        </w:rPr>
        <w:t xml:space="preserve"> </w:t>
      </w:r>
      <w:r>
        <w:rPr>
          <w:rFonts w:ascii="Times New Roman" w:hAnsi="Times New Roman" w:cs="Times New Roman"/>
          <w:color w:val="000000"/>
          <w:sz w:val="24"/>
          <w:szCs w:val="24"/>
        </w:rPr>
        <w:t>и представителей Заказчика в пункт выдачи должен быть обеспечен в часы работы пункта.</w:t>
      </w:r>
    </w:p>
    <w:p w:rsidR="00D450AD" w:rsidRDefault="00D450AD" w:rsidP="00D450AD">
      <w:pPr>
        <w:tabs>
          <w:tab w:val="left" w:pos="9724"/>
        </w:tabs>
        <w:ind w:right="10" w:firstLine="426"/>
        <w:jc w:val="both"/>
        <w:rPr>
          <w:color w:val="000000"/>
        </w:rPr>
      </w:pPr>
      <w:r>
        <w:rPr>
          <w:color w:val="000000"/>
        </w:rPr>
        <w:t>5. Для получения телефонных звонков от Получателей по вопросам поставки подгузников обязательно наличие не менее двух телефонных номеров.</w:t>
      </w:r>
    </w:p>
    <w:p w:rsidR="00D450AD" w:rsidRDefault="00D450AD" w:rsidP="00D450AD">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 З</w:t>
      </w:r>
      <w:r>
        <w:rPr>
          <w:rFonts w:ascii="Times New Roman" w:hAnsi="Times New Roman" w:cs="Times New Roman"/>
          <w:sz w:val="24"/>
          <w:szCs w:val="24"/>
        </w:rPr>
        <w:t xml:space="preserve">аверенные надлежащим образом </w:t>
      </w:r>
      <w:r>
        <w:rPr>
          <w:rFonts w:ascii="Times New Roman" w:hAnsi="Times New Roman" w:cs="Times New Roman"/>
          <w:color w:val="000000"/>
          <w:sz w:val="24"/>
          <w:szCs w:val="24"/>
        </w:rPr>
        <w:t xml:space="preserve">копии </w:t>
      </w:r>
      <w:r>
        <w:rPr>
          <w:rFonts w:ascii="Times New Roman" w:hAnsi="Times New Roman" w:cs="Times New Roman"/>
          <w:sz w:val="24"/>
          <w:szCs w:val="24"/>
        </w:rPr>
        <w:t xml:space="preserve">деклараций о соответствии </w:t>
      </w:r>
      <w:r>
        <w:rPr>
          <w:rFonts w:ascii="Times New Roman" w:hAnsi="Times New Roman" w:cs="Times New Roman"/>
          <w:color w:val="000000"/>
          <w:sz w:val="24"/>
          <w:szCs w:val="24"/>
        </w:rPr>
        <w:t>Поставщик предоставляет Заказчику в течение 3 (Трех) рабочих дней со дня заключения государственного контракта.</w:t>
      </w:r>
    </w:p>
    <w:p w:rsidR="00D450AD" w:rsidRDefault="00D450AD" w:rsidP="00D450AD">
      <w:pPr>
        <w:pStyle w:val="ConsPlusNormal"/>
        <w:ind w:firstLine="420"/>
        <w:jc w:val="both"/>
        <w:rPr>
          <w:rFonts w:ascii="Times New Roman" w:hAnsi="Times New Roman" w:cs="Times New Roman"/>
          <w:color w:val="000000"/>
          <w:sz w:val="24"/>
          <w:szCs w:val="24"/>
        </w:rPr>
      </w:pPr>
      <w:r>
        <w:rPr>
          <w:rFonts w:ascii="Times New Roman" w:hAnsi="Times New Roman" w:cs="Times New Roman"/>
          <w:color w:val="000000"/>
          <w:sz w:val="24"/>
          <w:szCs w:val="24"/>
        </w:rPr>
        <w:t>7. Не позднее 3 (Трех) рабочих дней со дня заключения государственного контракта Поставщик должен предоставить Заказчику адрес, номера телефонов и график работы пункта выдачи.</w:t>
      </w:r>
    </w:p>
    <w:p w:rsidR="00D450AD" w:rsidRDefault="00D450AD" w:rsidP="00D450AD">
      <w:pPr>
        <w:pStyle w:val="ConsPlusNormal"/>
        <w:ind w:firstLine="4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 случае привлечения Поставщиком к исполнению обязанностей по государственному контракту третьего лица, Поставщик должен предоставить Заказчику документ, </w:t>
      </w:r>
      <w:r w:rsidR="00A671F2">
        <w:rPr>
          <w:rFonts w:ascii="Times New Roman" w:hAnsi="Times New Roman" w:cs="Times New Roman"/>
          <w:color w:val="000000"/>
          <w:sz w:val="24"/>
          <w:szCs w:val="24"/>
        </w:rPr>
        <w:t>подтверждающий право</w:t>
      </w:r>
      <w:r>
        <w:rPr>
          <w:rFonts w:ascii="Times New Roman" w:hAnsi="Times New Roman" w:cs="Times New Roman"/>
          <w:color w:val="000000"/>
          <w:sz w:val="24"/>
          <w:szCs w:val="24"/>
        </w:rPr>
        <w:t xml:space="preserve"> третьего </w:t>
      </w:r>
      <w:bookmarkStart w:id="0" w:name="_GoBack"/>
      <w:bookmarkEnd w:id="0"/>
      <w:r w:rsidR="00A671F2">
        <w:rPr>
          <w:rFonts w:ascii="Times New Roman" w:hAnsi="Times New Roman" w:cs="Times New Roman"/>
          <w:color w:val="000000"/>
          <w:sz w:val="24"/>
          <w:szCs w:val="24"/>
        </w:rPr>
        <w:t>лица действовать</w:t>
      </w:r>
      <w:r>
        <w:rPr>
          <w:rFonts w:ascii="Times New Roman" w:hAnsi="Times New Roman" w:cs="Times New Roman"/>
          <w:color w:val="000000"/>
          <w:sz w:val="24"/>
          <w:szCs w:val="24"/>
        </w:rPr>
        <w:t xml:space="preserve"> от имени Поставщика. При этом ответственность за выполнение государственного контракта несет Поставщик.</w:t>
      </w:r>
    </w:p>
    <w:p w:rsidR="00BE58F6" w:rsidRDefault="00BE58F6"/>
    <w:sectPr w:rsidR="00BE58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30" w:rsidRDefault="00522E30" w:rsidP="00F81C58">
      <w:r>
        <w:separator/>
      </w:r>
    </w:p>
  </w:endnote>
  <w:endnote w:type="continuationSeparator" w:id="0">
    <w:p w:rsidR="00522E30" w:rsidRDefault="00522E30" w:rsidP="00F8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306">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30" w:rsidRDefault="00522E30" w:rsidP="00F81C58">
      <w:r>
        <w:separator/>
      </w:r>
    </w:p>
  </w:footnote>
  <w:footnote w:type="continuationSeparator" w:id="0">
    <w:p w:rsidR="00522E30" w:rsidRDefault="00522E30" w:rsidP="00F81C58">
      <w:r>
        <w:continuationSeparator/>
      </w:r>
    </w:p>
  </w:footnote>
  <w:footnote w:id="1">
    <w:p w:rsidR="00F81C58" w:rsidRPr="00257200" w:rsidRDefault="00F81C58" w:rsidP="00F81C58">
      <w:pPr>
        <w:pStyle w:val="a6"/>
        <w:rPr>
          <w:sz w:val="16"/>
          <w:szCs w:val="16"/>
        </w:rPr>
      </w:pPr>
      <w:r>
        <w:rPr>
          <w:rStyle w:val="a5"/>
        </w:rPr>
        <w:footnoteRef/>
      </w:r>
      <w:r>
        <w:t xml:space="preserve"> </w:t>
      </w:r>
      <w:r w:rsidRPr="00257200">
        <w:rPr>
          <w:sz w:val="16"/>
          <w:szCs w:val="16"/>
        </w:rPr>
        <w:t>Классификация ТСР</w:t>
      </w:r>
      <w:r>
        <w:rPr>
          <w:sz w:val="16"/>
          <w:szCs w:val="16"/>
        </w:rPr>
        <w:t xml:space="preserve"> (изделий) в рамках федерального перечня реабилитационных мероприятий, ТСР и услуг, предоставляемых инвалиду</w:t>
      </w:r>
      <w:r w:rsidRPr="00257200">
        <w:rPr>
          <w:sz w:val="16"/>
          <w:szCs w:val="16"/>
        </w:rPr>
        <w:t xml:space="preserve">, утвержденная приказом </w:t>
      </w:r>
      <w:r w:rsidRPr="00C54225">
        <w:rPr>
          <w:sz w:val="16"/>
          <w:szCs w:val="16"/>
        </w:rPr>
        <w:t>Министерства труда и социальной защиты Российской Федерации</w:t>
      </w:r>
      <w:r w:rsidRPr="00257200">
        <w:rPr>
          <w:sz w:val="16"/>
          <w:szCs w:val="16"/>
        </w:rPr>
        <w:t xml:space="preserve"> от 24 мая 2013</w:t>
      </w:r>
      <w:r>
        <w:rPr>
          <w:sz w:val="16"/>
          <w:szCs w:val="16"/>
        </w:rPr>
        <w:t xml:space="preserve"> </w:t>
      </w:r>
      <w:r w:rsidRPr="00257200">
        <w:rPr>
          <w:sz w:val="16"/>
          <w:szCs w:val="16"/>
        </w:rPr>
        <w:t>г</w:t>
      </w:r>
      <w:r>
        <w:rPr>
          <w:sz w:val="16"/>
          <w:szCs w:val="16"/>
        </w:rPr>
        <w:t>ода</w:t>
      </w:r>
      <w:r w:rsidRPr="00257200">
        <w:rPr>
          <w:sz w:val="16"/>
          <w:szCs w:val="16"/>
        </w:rPr>
        <w:t xml:space="preserve"> №21</w:t>
      </w:r>
      <w:r>
        <w:rPr>
          <w:sz w:val="16"/>
          <w:szCs w:val="16"/>
        </w:rPr>
        <w:t>4</w:t>
      </w:r>
      <w:r w:rsidRPr="00257200">
        <w:rPr>
          <w:sz w:val="16"/>
          <w:szCs w:val="16"/>
        </w:rPr>
        <w:t>н</w:t>
      </w:r>
      <w:r>
        <w:rPr>
          <w:sz w:val="16"/>
          <w:szCs w:val="16"/>
        </w:rPr>
        <w:t xml:space="preserve"> </w:t>
      </w:r>
      <w:r w:rsidRPr="002F4A42">
        <w:rPr>
          <w:sz w:val="16"/>
          <w:szCs w:val="16"/>
        </w:rPr>
        <w:t>(с изменениями и дополнениями).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58"/>
    <w:rsid w:val="001D3657"/>
    <w:rsid w:val="003626A7"/>
    <w:rsid w:val="00522E30"/>
    <w:rsid w:val="00933AFA"/>
    <w:rsid w:val="00A671F2"/>
    <w:rsid w:val="00BE58F6"/>
    <w:rsid w:val="00C76622"/>
    <w:rsid w:val="00D450AD"/>
    <w:rsid w:val="00F31810"/>
    <w:rsid w:val="00F8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AF544-4280-4F9E-B278-FDE81710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C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81C58"/>
    <w:pPr>
      <w:widowControl w:val="0"/>
      <w:tabs>
        <w:tab w:val="num" w:pos="927"/>
      </w:tabs>
      <w:spacing w:after="120" w:line="300" w:lineRule="auto"/>
      <w:ind w:left="927" w:hanging="360"/>
    </w:pPr>
    <w:rPr>
      <w:sz w:val="22"/>
      <w:szCs w:val="22"/>
    </w:rPr>
  </w:style>
  <w:style w:type="character" w:customStyle="1" w:styleId="a4">
    <w:name w:val="Основной текст Знак"/>
    <w:basedOn w:val="a0"/>
    <w:link w:val="a3"/>
    <w:rsid w:val="00F81C58"/>
    <w:rPr>
      <w:rFonts w:ascii="Times New Roman" w:eastAsia="Times New Roman" w:hAnsi="Times New Roman" w:cs="Times New Roman"/>
      <w:lang w:eastAsia="ru-RU"/>
    </w:rPr>
  </w:style>
  <w:style w:type="character" w:styleId="a5">
    <w:name w:val="footnote reference"/>
    <w:semiHidden/>
    <w:rsid w:val="00F81C58"/>
    <w:rPr>
      <w:vertAlign w:val="superscript"/>
    </w:rPr>
  </w:style>
  <w:style w:type="paragraph" w:styleId="a6">
    <w:name w:val="footnote text"/>
    <w:basedOn w:val="a"/>
    <w:link w:val="a7"/>
    <w:semiHidden/>
    <w:rsid w:val="00F81C58"/>
    <w:rPr>
      <w:sz w:val="20"/>
      <w:szCs w:val="20"/>
    </w:rPr>
  </w:style>
  <w:style w:type="character" w:customStyle="1" w:styleId="a7">
    <w:name w:val="Текст сноски Знак"/>
    <w:basedOn w:val="a0"/>
    <w:link w:val="a6"/>
    <w:semiHidden/>
    <w:rsid w:val="00F81C58"/>
    <w:rPr>
      <w:rFonts w:ascii="Times New Roman" w:eastAsia="Times New Roman" w:hAnsi="Times New Roman" w:cs="Times New Roman"/>
      <w:sz w:val="20"/>
      <w:szCs w:val="20"/>
      <w:lang w:eastAsia="ru-RU"/>
    </w:rPr>
  </w:style>
  <w:style w:type="paragraph" w:customStyle="1" w:styleId="11">
    <w:name w:val="заголовок 11"/>
    <w:basedOn w:val="a"/>
    <w:rsid w:val="00F81C58"/>
    <w:pPr>
      <w:tabs>
        <w:tab w:val="left" w:pos="709"/>
      </w:tabs>
      <w:suppressAutoHyphens/>
      <w:spacing w:after="200" w:line="276" w:lineRule="atLeast"/>
    </w:pPr>
    <w:rPr>
      <w:rFonts w:ascii="Calibri" w:eastAsia="Arial Unicode MS" w:hAnsi="Calibri" w:cs="font306"/>
      <w:color w:val="00000A"/>
      <w:kern w:val="1"/>
      <w:sz w:val="22"/>
      <w:szCs w:val="22"/>
      <w:lang w:eastAsia="ar-SA"/>
    </w:rPr>
  </w:style>
  <w:style w:type="paragraph" w:customStyle="1" w:styleId="ConsPlusNormal">
    <w:name w:val="ConsPlusNormal"/>
    <w:rsid w:val="00D450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1">
    <w:name w:val="содержание2-11"/>
    <w:basedOn w:val="a"/>
    <w:rsid w:val="00D450AD"/>
    <w:pPr>
      <w:spacing w:after="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6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Моноблок</dc:creator>
  <cp:keywords/>
  <dc:description/>
  <cp:lastModifiedBy>Моноблок</cp:lastModifiedBy>
  <cp:revision>6</cp:revision>
  <dcterms:created xsi:type="dcterms:W3CDTF">2018-02-07T14:23:00Z</dcterms:created>
  <dcterms:modified xsi:type="dcterms:W3CDTF">2018-02-07T14:46:00Z</dcterms:modified>
</cp:coreProperties>
</file>