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C" w:rsidRDefault="006736CC" w:rsidP="006736CC">
      <w:pPr>
        <w:jc w:val="center"/>
      </w:pPr>
      <w:bookmarkStart w:id="0" w:name="_GoBack"/>
      <w:bookmarkEnd w:id="0"/>
      <w:r>
        <w:t xml:space="preserve"> Техническое задание</w:t>
      </w:r>
    </w:p>
    <w:p w:rsidR="006736CC" w:rsidRPr="00DC3089" w:rsidRDefault="006736CC" w:rsidP="006736CC"/>
    <w:p w:rsidR="006736CC" w:rsidRPr="00E22AEF" w:rsidRDefault="006736CC" w:rsidP="006736C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техническим, </w:t>
      </w:r>
      <w:r w:rsidR="009550CB">
        <w:rPr>
          <w:color w:val="000000"/>
        </w:rPr>
        <w:t xml:space="preserve">функциональным и </w:t>
      </w:r>
      <w:r>
        <w:rPr>
          <w:color w:val="000000"/>
        </w:rPr>
        <w:t>ка</w:t>
      </w:r>
      <w:r w:rsidR="00B856BB">
        <w:rPr>
          <w:color w:val="000000"/>
        </w:rPr>
        <w:t xml:space="preserve">чественным характеристикам </w:t>
      </w:r>
      <w:r w:rsidR="00F04FB0">
        <w:rPr>
          <w:color w:val="000000"/>
        </w:rPr>
        <w:t xml:space="preserve">товара – </w:t>
      </w:r>
      <w:r w:rsidR="00EE4077">
        <w:rPr>
          <w:color w:val="000000"/>
        </w:rPr>
        <w:t xml:space="preserve">гигиенических </w:t>
      </w:r>
      <w:r w:rsidR="009550CB">
        <w:rPr>
          <w:color w:val="000000"/>
        </w:rPr>
        <w:t xml:space="preserve">абсорбирующих изделий </w:t>
      </w:r>
      <w:r w:rsidR="00532ED4">
        <w:rPr>
          <w:color w:val="000000"/>
        </w:rPr>
        <w:t>(впитывающие простыни (пеленки)</w:t>
      </w:r>
      <w:r w:rsidR="005A4AAF">
        <w:rPr>
          <w:color w:val="000000"/>
        </w:rPr>
        <w:t>)</w:t>
      </w:r>
      <w:r>
        <w:rPr>
          <w:color w:val="000000"/>
          <w:szCs w:val="22"/>
        </w:rPr>
        <w:t>.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66"/>
        <w:gridCol w:w="3951"/>
        <w:gridCol w:w="873"/>
        <w:gridCol w:w="1183"/>
        <w:gridCol w:w="1321"/>
      </w:tblGrid>
      <w:tr w:rsidR="006736CC" w:rsidRPr="00831E5C" w:rsidTr="009054F6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="006736CC" w:rsidRPr="00831E5C"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183" w:type="dxa"/>
            <w:vAlign w:val="center"/>
          </w:tcPr>
          <w:p w:rsidR="006736CC" w:rsidRPr="00831E5C" w:rsidRDefault="00D717CE" w:rsidP="009054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товара</w:t>
            </w:r>
            <w:r w:rsidR="006736CC" w:rsidRPr="00831E5C">
              <w:rPr>
                <w:sz w:val="20"/>
                <w:szCs w:val="20"/>
                <w:lang w:eastAsia="ar-SA"/>
              </w:rPr>
              <w:t>,</w:t>
            </w:r>
          </w:p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6736CC" w:rsidRPr="00831E5C" w:rsidTr="009054F6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947BC5" w:rsidRPr="00831E5C" w:rsidTr="009054F6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947BC5" w:rsidRPr="00831E5C" w:rsidRDefault="00960B84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22-01-03</w:t>
            </w:r>
          </w:p>
        </w:tc>
        <w:tc>
          <w:tcPr>
            <w:tcW w:w="1566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Гигиенические абсорбирующие </w:t>
            </w:r>
            <w:r w:rsidR="002F2EBD">
              <w:rPr>
                <w:sz w:val="20"/>
                <w:szCs w:val="20"/>
              </w:rPr>
              <w:t>изделия (впитывающие простыни (пеленки)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51" w:type="dxa"/>
            <w:vAlign w:val="center"/>
          </w:tcPr>
          <w:p w:rsidR="00947BC5" w:rsidRPr="00A41445" w:rsidRDefault="00AB7D0F" w:rsidP="00947BC5">
            <w:pPr>
              <w:jc w:val="both"/>
              <w:rPr>
                <w:sz w:val="20"/>
                <w:szCs w:val="20"/>
              </w:rPr>
            </w:pPr>
            <w:r w:rsidRPr="00AB7D0F">
              <w:rPr>
                <w:sz w:val="20"/>
                <w:szCs w:val="20"/>
              </w:rPr>
              <w:t xml:space="preserve">Гигиенические абсорбирующие изделия - впитывающие простыни (пеленки). Впитывающие простыни (пеленки). Впитывающие простыни (пеленки) многослойные, с наружным слоем из водонепроницаемого, нескользящего материала, </w:t>
            </w:r>
            <w:proofErr w:type="spellStart"/>
            <w:r w:rsidRPr="00AB7D0F">
              <w:rPr>
                <w:sz w:val="20"/>
                <w:szCs w:val="20"/>
              </w:rPr>
              <w:t>впитываемостью</w:t>
            </w:r>
            <w:proofErr w:type="spellEnd"/>
            <w:r w:rsidRPr="00AB7D0F">
              <w:rPr>
                <w:sz w:val="20"/>
                <w:szCs w:val="20"/>
              </w:rPr>
              <w:t xml:space="preserve"> абсорбирующего слоя от 1200 до 1900 мл</w:t>
            </w:r>
            <w:proofErr w:type="gramStart"/>
            <w:r w:rsidRPr="00AB7D0F">
              <w:rPr>
                <w:sz w:val="20"/>
                <w:szCs w:val="20"/>
              </w:rPr>
              <w:t xml:space="preserve">., </w:t>
            </w:r>
            <w:proofErr w:type="gramEnd"/>
            <w:r w:rsidRPr="00AB7D0F">
              <w:rPr>
                <w:sz w:val="20"/>
                <w:szCs w:val="20"/>
              </w:rPr>
              <w:t>размер 60x90 см.</w:t>
            </w:r>
          </w:p>
        </w:tc>
        <w:tc>
          <w:tcPr>
            <w:tcW w:w="873" w:type="dxa"/>
            <w:vAlign w:val="center"/>
          </w:tcPr>
          <w:p w:rsidR="00947BC5" w:rsidRPr="007746BC" w:rsidRDefault="007525AB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260800</w:t>
            </w:r>
          </w:p>
        </w:tc>
        <w:tc>
          <w:tcPr>
            <w:tcW w:w="1183" w:type="dxa"/>
            <w:vAlign w:val="center"/>
          </w:tcPr>
          <w:p w:rsidR="00947BC5" w:rsidRPr="00947BC5" w:rsidRDefault="007525AB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1321" w:type="dxa"/>
            <w:vAlign w:val="center"/>
          </w:tcPr>
          <w:p w:rsidR="00947BC5" w:rsidRPr="00947BC5" w:rsidRDefault="007525AB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2999200</w:t>
            </w:r>
            <w:r w:rsidR="00947BC5" w:rsidRPr="00947BC5">
              <w:rPr>
                <w:sz w:val="20"/>
                <w:szCs w:val="20"/>
              </w:rPr>
              <w:t>,00</w:t>
            </w:r>
          </w:p>
        </w:tc>
      </w:tr>
      <w:tr w:rsidR="00D717CE" w:rsidRPr="00831E5C" w:rsidTr="009054F6">
        <w:trPr>
          <w:jc w:val="center"/>
        </w:trPr>
        <w:tc>
          <w:tcPr>
            <w:tcW w:w="514" w:type="dxa"/>
            <w:vAlign w:val="center"/>
          </w:tcPr>
          <w:p w:rsidR="00D717CE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D717CE" w:rsidRPr="00C752D9" w:rsidRDefault="00C752D9" w:rsidP="00C752D9">
            <w:pPr>
              <w:jc w:val="right"/>
              <w:rPr>
                <w:b/>
                <w:sz w:val="20"/>
                <w:szCs w:val="20"/>
              </w:rPr>
            </w:pPr>
            <w:r w:rsidRPr="00C752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3" w:type="dxa"/>
            <w:vAlign w:val="center"/>
          </w:tcPr>
          <w:p w:rsidR="00D717CE" w:rsidRPr="00C752D9" w:rsidRDefault="00F07948" w:rsidP="00C75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260800</w:t>
            </w:r>
          </w:p>
        </w:tc>
        <w:tc>
          <w:tcPr>
            <w:tcW w:w="1183" w:type="dxa"/>
            <w:vAlign w:val="center"/>
          </w:tcPr>
          <w:p w:rsidR="00D717CE" w:rsidRPr="00DF5B9D" w:rsidRDefault="00DF5B9D" w:rsidP="009054F6">
            <w:pPr>
              <w:jc w:val="center"/>
              <w:rPr>
                <w:b/>
                <w:sz w:val="20"/>
                <w:szCs w:val="20"/>
              </w:rPr>
            </w:pPr>
            <w:r w:rsidRPr="00DF5B9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D717CE" w:rsidRPr="00822A87" w:rsidRDefault="00F07948" w:rsidP="00905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2999200</w:t>
            </w:r>
            <w:r w:rsidR="00822A87" w:rsidRPr="00822A87">
              <w:rPr>
                <w:b/>
                <w:sz w:val="20"/>
                <w:szCs w:val="20"/>
              </w:rPr>
              <w:t>,00</w:t>
            </w:r>
          </w:p>
        </w:tc>
      </w:tr>
    </w:tbl>
    <w:p w:rsidR="00B9177D" w:rsidRPr="00D51015" w:rsidRDefault="00B9177D" w:rsidP="006736CC">
      <w:pPr>
        <w:tabs>
          <w:tab w:val="left" w:pos="9724"/>
        </w:tabs>
        <w:ind w:right="10" w:firstLine="709"/>
        <w:jc w:val="both"/>
        <w:rPr>
          <w:color w:val="000000"/>
        </w:rPr>
      </w:pPr>
    </w:p>
    <w:p w:rsidR="00672394" w:rsidRPr="00672394" w:rsidRDefault="00672394" w:rsidP="00672394">
      <w:pPr>
        <w:widowControl w:val="0"/>
        <w:autoSpaceDE w:val="0"/>
        <w:jc w:val="both"/>
      </w:pPr>
      <w:r w:rsidRPr="00672394">
        <w:rPr>
          <w:color w:val="000000"/>
          <w:szCs w:val="23"/>
        </w:rPr>
        <w:t xml:space="preserve">    </w:t>
      </w:r>
      <w:r w:rsidRPr="00672394">
        <w:t>Гигиенические абсорбирующие изделия – впитывающие простыни (пеленки) (дале</w:t>
      </w:r>
      <w:proofErr w:type="gramStart"/>
      <w:r w:rsidRPr="00672394">
        <w:t>е-</w:t>
      </w:r>
      <w:proofErr w:type="gramEnd"/>
      <w:r w:rsidRPr="00672394">
        <w:t xml:space="preserve"> Товар) предназначены для обеспечения впитывания мочи и/или жидкого кала и защиты постели и/или сидения от протекания.</w:t>
      </w:r>
    </w:p>
    <w:p w:rsidR="00672394" w:rsidRPr="00672394" w:rsidRDefault="00672394" w:rsidP="00672394">
      <w:pPr>
        <w:ind w:firstLine="708"/>
        <w:jc w:val="both"/>
        <w:rPr>
          <w:szCs w:val="23"/>
        </w:rPr>
      </w:pPr>
      <w:r w:rsidRPr="00672394">
        <w:t>Товар должен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672394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 года № 1416 «Об утверждении Правил государственной регистрации медицинских изделий».</w:t>
      </w:r>
    </w:p>
    <w:p w:rsidR="00672394" w:rsidRPr="00672394" w:rsidRDefault="00672394" w:rsidP="00672394">
      <w:pPr>
        <w:widowControl w:val="0"/>
        <w:autoSpaceDE w:val="0"/>
        <w:ind w:firstLine="540"/>
        <w:jc w:val="both"/>
        <w:rPr>
          <w:szCs w:val="23"/>
        </w:rPr>
      </w:pPr>
      <w:r w:rsidRPr="00672394">
        <w:rPr>
          <w:szCs w:val="23"/>
        </w:rPr>
        <w:t>В случае</w:t>
      </w:r>
      <w:proofErr w:type="gramStart"/>
      <w:r w:rsidRPr="00672394">
        <w:rPr>
          <w:szCs w:val="23"/>
        </w:rPr>
        <w:t>,</w:t>
      </w:r>
      <w:proofErr w:type="gramEnd"/>
      <w:r w:rsidRPr="00672394">
        <w:rPr>
          <w:szCs w:val="23"/>
        </w:rPr>
        <w:t xml:space="preserve"> если в период срока действия государственного контракта истек срок их </w:t>
      </w:r>
      <w:proofErr w:type="gramStart"/>
      <w:r w:rsidRPr="00672394">
        <w:rPr>
          <w:szCs w:val="23"/>
        </w:rPr>
        <w:t>действия, заверенные надлежащим образом копии новых регистрационных удостоверений  предоставляются</w:t>
      </w:r>
      <w:proofErr w:type="gramEnd"/>
      <w:r w:rsidRPr="00672394">
        <w:rPr>
          <w:szCs w:val="23"/>
        </w:rPr>
        <w:t xml:space="preserve"> вместе с отчётной документацией для оплаты поставленного Товара.</w:t>
      </w:r>
    </w:p>
    <w:p w:rsidR="00672394" w:rsidRPr="00672394" w:rsidRDefault="00672394" w:rsidP="00672394">
      <w:pPr>
        <w:ind w:firstLine="708"/>
        <w:jc w:val="both"/>
      </w:pPr>
      <w:r w:rsidRPr="00672394">
        <w:t xml:space="preserve">В Товаре должны отсутствовать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</w:t>
      </w:r>
    </w:p>
    <w:p w:rsidR="00672394" w:rsidRPr="00672394" w:rsidRDefault="00672394" w:rsidP="00672394">
      <w:pPr>
        <w:ind w:firstLine="708"/>
        <w:jc w:val="both"/>
      </w:pPr>
      <w:r w:rsidRPr="00672394">
        <w:t xml:space="preserve">Печатное изображение на Товаре должно быть четким. Без искажений и пробелов. Должны отсутствовать следы </w:t>
      </w:r>
      <w:proofErr w:type="spellStart"/>
      <w:r w:rsidRPr="00672394">
        <w:t>выщипывания</w:t>
      </w:r>
      <w:proofErr w:type="spellEnd"/>
      <w:r w:rsidRPr="00672394">
        <w:t xml:space="preserve"> волокон с поверхности Товара и </w:t>
      </w:r>
      <w:proofErr w:type="spellStart"/>
      <w:r w:rsidRPr="00672394">
        <w:t>отмарывания</w:t>
      </w:r>
      <w:proofErr w:type="spellEnd"/>
      <w:r w:rsidRPr="00672394">
        <w:t xml:space="preserve"> краски.</w:t>
      </w:r>
    </w:p>
    <w:p w:rsidR="00672394" w:rsidRPr="00672394" w:rsidRDefault="00672394" w:rsidP="00672394">
      <w:pPr>
        <w:jc w:val="both"/>
      </w:pPr>
      <w:r w:rsidRPr="00672394">
        <w:t>Маркировка должна быть достоверная, проверяемая и читаемая.</w:t>
      </w:r>
    </w:p>
    <w:p w:rsidR="00672394" w:rsidRPr="00672394" w:rsidRDefault="00672394" w:rsidP="00672394">
      <w:pPr>
        <w:ind w:firstLine="567"/>
        <w:jc w:val="both"/>
      </w:pPr>
      <w:r w:rsidRPr="00672394">
        <w:t xml:space="preserve">Маркировка упаковки Товара должна соответствовать ГОСТ </w:t>
      </w:r>
      <w:proofErr w:type="gramStart"/>
      <w:r w:rsidRPr="00672394">
        <w:t>Р</w:t>
      </w:r>
      <w:proofErr w:type="gramEnd"/>
      <w:r w:rsidRPr="00672394">
        <w:t xml:space="preserve"> 57762-2017 «Белье абсорбирующее для инвалидов. Общие технические условия».</w:t>
      </w:r>
    </w:p>
    <w:p w:rsidR="00672394" w:rsidRPr="00672394" w:rsidRDefault="00672394" w:rsidP="00672394">
      <w:pPr>
        <w:jc w:val="both"/>
        <w:rPr>
          <w:color w:val="000000"/>
        </w:rPr>
      </w:pPr>
      <w:r w:rsidRPr="00672394">
        <w:t xml:space="preserve">Сырье и материалы, применяемые для изготовления </w:t>
      </w:r>
      <w:r w:rsidRPr="00672394">
        <w:rPr>
          <w:szCs w:val="28"/>
        </w:rPr>
        <w:t xml:space="preserve">Товара, должны быть </w:t>
      </w:r>
      <w:r w:rsidRPr="00672394">
        <w:t xml:space="preserve">разрешены к применению Федеральной службой по надзору в сфере защиты прав потребителей и </w:t>
      </w:r>
      <w:r w:rsidRPr="00672394">
        <w:rPr>
          <w:color w:val="000000"/>
        </w:rPr>
        <w:t>благополучия человека, а также соответствовать требованиям действующих стандартов</w:t>
      </w:r>
      <w:r w:rsidRPr="00672394">
        <w:rPr>
          <w:color w:val="000000"/>
          <w:szCs w:val="23"/>
        </w:rPr>
        <w:t>.</w:t>
      </w:r>
    </w:p>
    <w:p w:rsidR="00672394" w:rsidRDefault="00672394" w:rsidP="00672394">
      <w:r>
        <w:t xml:space="preserve">         Поставка Товара должна осуществляться в упаковке, обеспечивающей его сохранность, защиту от повреждений, порчи (изнашивания), или загрязнения, от воздействия механических и климатических факторов в индивидуальной упаковке, защищающей от повреждений и воздействия внешней среды во время доставки до места </w:t>
      </w:r>
      <w:r>
        <w:lastRenderedPageBreak/>
        <w:t>жительства (дом, квартира) Получателя или до места нахождения организованного Поставщиком пункта выдачи.</w:t>
      </w:r>
    </w:p>
    <w:p w:rsidR="00672394" w:rsidRDefault="00672394" w:rsidP="00672394">
      <w:r>
        <w:t xml:space="preserve">          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72394" w:rsidRDefault="00672394" w:rsidP="00672394">
      <w:r>
        <w:t xml:space="preserve">          Поставщиком должно быть осуществлено обязательное обеспечение инструктажа Получателей и консультативной помощи по правильному пользованию Товаром.</w:t>
      </w:r>
    </w:p>
    <w:p w:rsidR="00672394" w:rsidRDefault="00672394" w:rsidP="00672394">
      <w:r>
        <w:t xml:space="preserve">          Доставка Товара должна осуществляться до места жительства (дом, квартира) Получателя, либо по согласованию с Получателем, выдача Товара должна осуществляться по месту нахождения организованного Поставщиком пункта выдачи.</w:t>
      </w:r>
    </w:p>
    <w:p w:rsidR="00672394" w:rsidRDefault="00672394" w:rsidP="00672394">
      <w:r>
        <w:t>Поставщик должен согласовать с Получателем способ доставки Товара не позднее 2 (Двух) календарных дней со дня получения от Заказчика Списка Получателей, которым Заказчик выдал направления, с соответствующей регистрацией выбранного Получателем способа доставки в регистрационном журнале.</w:t>
      </w:r>
    </w:p>
    <w:p w:rsidR="00672394" w:rsidRDefault="00672394" w:rsidP="00672394">
      <w:r>
        <w:t xml:space="preserve">           Доставка Товара должна быть осуществлена до места жительства (дом, квартира) Получателя в течение 20 (Двадцати) календарных дней со дня получения списка Получателей, которым Заказчик выдал направления, а в случае отсутствия Получателя в списке, в течение 20 (Двадцати) календарных дней со дня получения от Получателя направления Заказчика.</w:t>
      </w:r>
    </w:p>
    <w:p w:rsidR="00672394" w:rsidRDefault="00672394" w:rsidP="00672394">
      <w:r>
        <w:t xml:space="preserve">           Выдача Товара в пункте выдачи должна осуществляться с соответствующей регистрацией выбранного Получателем способа доставки в регистрационном журнале. </w:t>
      </w:r>
    </w:p>
    <w:p w:rsidR="00672394" w:rsidRDefault="00672394" w:rsidP="00672394">
      <w:r>
        <w:t xml:space="preserve">           В случае самостоятельного обращения к Поставщику Товар должен выдаваться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672394" w:rsidRDefault="00672394" w:rsidP="00672394">
      <w:r>
        <w:t xml:space="preserve">          Свободный доступ Получателя и представителей Заказчика в пункт выдачи должен обеспечиваться в часы работы пункта выдачи.</w:t>
      </w:r>
    </w:p>
    <w:p w:rsidR="00672394" w:rsidRDefault="00672394" w:rsidP="00672394">
      <w:r>
        <w:t xml:space="preserve">           Для получения телефонных звонков от Получателей по вопросам поставки Товара должно быть наличие не менее двух телефонных номеров. </w:t>
      </w:r>
    </w:p>
    <w:p w:rsidR="00672394" w:rsidRDefault="00672394" w:rsidP="00672394">
      <w:r>
        <w:t xml:space="preserve">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  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672394" w:rsidRDefault="00672394" w:rsidP="00672394">
      <w:r>
        <w:t xml:space="preserve">             Не позднее 3 (Трех) рабочих дней со дня заключения государственного контракта Поставщик должен предоставить Заказчику адрес, номера телефонов и график работы пункта выдачи.</w:t>
      </w:r>
    </w:p>
    <w:p w:rsidR="00B926E5" w:rsidRDefault="00672394" w:rsidP="00672394">
      <w:r>
        <w:t xml:space="preserve">             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672394" w:rsidRDefault="00672394" w:rsidP="00672394">
      <w:r>
        <w:t>Остаточный срок годности Товара должен составлять не менее 1 (Одного) года со дня подписания Акта приема-передачи технического средства реабилитации (товара) инвалидом (далее – Получатель).</w:t>
      </w:r>
    </w:p>
    <w:p w:rsidR="00672394" w:rsidRDefault="00672394" w:rsidP="00672394">
      <w:r>
        <w:t xml:space="preserve">        </w:t>
      </w:r>
      <w:proofErr w:type="gramStart"/>
      <w:r>
        <w:t>В случае предъявления претензий Получателей к качеству полученного Товара Поставщик в течение 10 (Десяти) рабочих дней со дня обращения Получателя должен произвести замену имеющего недостатки или дефекты (брак) Товара на аналогичный надлежащего качества.</w:t>
      </w:r>
      <w:proofErr w:type="gramEnd"/>
      <w:r>
        <w:t xml:space="preserve"> Замена должна производиться Поставщиком за счет собственных средств по месту жительства (дом, квартира) Получателя.</w:t>
      </w:r>
    </w:p>
    <w:p w:rsidR="00E40DA1" w:rsidRDefault="00E40DA1" w:rsidP="00E40DA1">
      <w:pPr>
        <w:widowControl w:val="0"/>
        <w:autoSpaceDE w:val="0"/>
        <w:autoSpaceDN w:val="0"/>
        <w:adjustRightInd w:val="0"/>
        <w:ind w:firstLine="709"/>
        <w:jc w:val="both"/>
      </w:pPr>
      <w:r w:rsidRPr="00E40DA1">
        <w:t>Срок поставки товара – 01 декабря 2018 года.</w:t>
      </w:r>
    </w:p>
    <w:p w:rsidR="009E3258" w:rsidRDefault="009E3258" w:rsidP="00E40DA1">
      <w:pPr>
        <w:widowControl w:val="0"/>
        <w:autoSpaceDE w:val="0"/>
        <w:autoSpaceDN w:val="0"/>
        <w:adjustRightInd w:val="0"/>
        <w:ind w:firstLine="709"/>
        <w:jc w:val="both"/>
      </w:pPr>
    </w:p>
    <w:p w:rsidR="009E3258" w:rsidRPr="009E3258" w:rsidRDefault="009E3258" w:rsidP="009E325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  <w:rPr>
          <w:rFonts w:eastAsia="Arial Unicode MS"/>
          <w:color w:val="00000A"/>
          <w:kern w:val="2"/>
          <w:lang w:eastAsia="ar-SA"/>
        </w:rPr>
      </w:pPr>
      <w:r>
        <w:rPr>
          <w:rFonts w:eastAsia="Arial Unicode MS"/>
          <w:color w:val="00000A"/>
          <w:kern w:val="2"/>
          <w:u w:val="single"/>
          <w:lang w:eastAsia="ar-SA"/>
        </w:rPr>
        <w:t xml:space="preserve"> Начальник</w:t>
      </w:r>
      <w:r w:rsidRPr="009E3258">
        <w:rPr>
          <w:rFonts w:eastAsia="Arial Unicode MS"/>
          <w:color w:val="00000A"/>
          <w:kern w:val="2"/>
          <w:u w:val="single"/>
          <w:lang w:eastAsia="ar-SA"/>
        </w:rPr>
        <w:t xml:space="preserve"> отдела социальных программ</w:t>
      </w:r>
      <w:r w:rsidRPr="009E3258">
        <w:rPr>
          <w:rFonts w:eastAsia="Arial Unicode MS"/>
          <w:color w:val="00000A"/>
          <w:kern w:val="2"/>
          <w:lang w:eastAsia="ar-SA"/>
        </w:rPr>
        <w:tab/>
        <w:t xml:space="preserve">  _________      </w:t>
      </w:r>
      <w:r>
        <w:rPr>
          <w:rFonts w:eastAsia="Arial Unicode MS"/>
          <w:color w:val="00000A"/>
          <w:kern w:val="2"/>
          <w:u w:val="single"/>
          <w:lang w:eastAsia="ar-SA"/>
        </w:rPr>
        <w:t>Л.А. Горшунович</w:t>
      </w:r>
    </w:p>
    <w:p w:rsidR="009E3258" w:rsidRPr="009E3258" w:rsidRDefault="009E3258" w:rsidP="009E325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  <w:rPr>
          <w:rFonts w:eastAsia="Arial Unicode MS"/>
          <w:color w:val="00000A"/>
          <w:kern w:val="2"/>
          <w:lang w:eastAsia="ar-SA"/>
        </w:rPr>
      </w:pPr>
      <w:r w:rsidRPr="009E3258">
        <w:rPr>
          <w:rFonts w:eastAsia="Arial Unicode MS"/>
          <w:color w:val="00000A"/>
          <w:kern w:val="2"/>
          <w:lang w:eastAsia="ar-SA"/>
        </w:rPr>
        <w:t xml:space="preserve">         (наименование отдела)  </w:t>
      </w:r>
      <w:r>
        <w:rPr>
          <w:rFonts w:eastAsia="Arial Unicode MS"/>
          <w:color w:val="00000A"/>
          <w:kern w:val="2"/>
          <w:lang w:eastAsia="ar-SA"/>
        </w:rPr>
        <w:t xml:space="preserve">                             </w:t>
      </w:r>
      <w:r w:rsidRPr="009E3258">
        <w:rPr>
          <w:rFonts w:eastAsia="Arial Unicode MS"/>
          <w:color w:val="00000A"/>
          <w:kern w:val="2"/>
          <w:lang w:eastAsia="ar-SA"/>
        </w:rPr>
        <w:t>(</w:t>
      </w:r>
      <w:r>
        <w:rPr>
          <w:rFonts w:eastAsia="Arial Unicode MS"/>
          <w:color w:val="00000A"/>
          <w:kern w:val="2"/>
          <w:lang w:eastAsia="ar-SA"/>
        </w:rPr>
        <w:t xml:space="preserve">подпись)               </w:t>
      </w:r>
      <w:r>
        <w:rPr>
          <w:rFonts w:eastAsia="Arial Unicode MS"/>
          <w:color w:val="00000A"/>
          <w:kern w:val="2"/>
          <w:lang w:eastAsia="ar-SA"/>
        </w:rPr>
        <w:tab/>
        <w:t xml:space="preserve"> </w:t>
      </w:r>
      <w:r w:rsidRPr="009E3258">
        <w:rPr>
          <w:rFonts w:eastAsia="Arial Unicode MS"/>
          <w:color w:val="00000A"/>
          <w:kern w:val="2"/>
          <w:lang w:eastAsia="ar-SA"/>
        </w:rPr>
        <w:t xml:space="preserve"> (</w:t>
      </w:r>
      <w:proofErr w:type="spellStart"/>
      <w:r w:rsidRPr="009E3258">
        <w:rPr>
          <w:rFonts w:eastAsia="Arial Unicode MS"/>
          <w:color w:val="00000A"/>
          <w:kern w:val="2"/>
          <w:lang w:eastAsia="ar-SA"/>
        </w:rPr>
        <w:t>ф.и.</w:t>
      </w:r>
      <w:proofErr w:type="gramStart"/>
      <w:r w:rsidRPr="009E3258">
        <w:rPr>
          <w:rFonts w:eastAsia="Arial Unicode MS"/>
          <w:color w:val="00000A"/>
          <w:kern w:val="2"/>
          <w:lang w:eastAsia="ar-SA"/>
        </w:rPr>
        <w:t>о</w:t>
      </w:r>
      <w:proofErr w:type="gramEnd"/>
      <w:r w:rsidRPr="009E3258">
        <w:rPr>
          <w:rFonts w:eastAsia="Arial Unicode MS"/>
          <w:color w:val="00000A"/>
          <w:kern w:val="2"/>
          <w:lang w:eastAsia="ar-SA"/>
        </w:rPr>
        <w:t>.</w:t>
      </w:r>
      <w:proofErr w:type="spellEnd"/>
      <w:r w:rsidRPr="009E3258">
        <w:rPr>
          <w:rFonts w:eastAsia="Arial Unicode MS"/>
          <w:color w:val="00000A"/>
          <w:kern w:val="2"/>
          <w:lang w:eastAsia="ar-SA"/>
        </w:rPr>
        <w:t>)</w:t>
      </w:r>
    </w:p>
    <w:p w:rsidR="009E3258" w:rsidRPr="00E40DA1" w:rsidRDefault="009E3258" w:rsidP="00E40DA1">
      <w:pPr>
        <w:widowControl w:val="0"/>
        <w:autoSpaceDE w:val="0"/>
        <w:autoSpaceDN w:val="0"/>
        <w:adjustRightInd w:val="0"/>
        <w:ind w:firstLine="709"/>
        <w:jc w:val="both"/>
      </w:pPr>
    </w:p>
    <w:p w:rsidR="00E40DA1" w:rsidRDefault="00E40DA1" w:rsidP="00672394"/>
    <w:sectPr w:rsidR="00E4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24" w:rsidRDefault="00D51324" w:rsidP="006736CC">
      <w:r>
        <w:separator/>
      </w:r>
    </w:p>
  </w:endnote>
  <w:endnote w:type="continuationSeparator" w:id="0">
    <w:p w:rsidR="00D51324" w:rsidRDefault="00D51324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24" w:rsidRDefault="00D51324" w:rsidP="006736CC">
      <w:r>
        <w:separator/>
      </w:r>
    </w:p>
  </w:footnote>
  <w:footnote w:type="continuationSeparator" w:id="0">
    <w:p w:rsidR="00D51324" w:rsidRDefault="00D51324" w:rsidP="006736CC">
      <w:r>
        <w:continuationSeparator/>
      </w:r>
    </w:p>
  </w:footnote>
  <w:footnote w:id="1">
    <w:p w:rsidR="006736CC" w:rsidRPr="005711B6" w:rsidRDefault="006736CC" w:rsidP="006736C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r w:rsidRPr="002F4A42">
        <w:rPr>
          <w:sz w:val="16"/>
          <w:szCs w:val="16"/>
        </w:rPr>
        <w:t>(с изменениями и дополнениями).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94C44"/>
    <w:rsid w:val="00134AF7"/>
    <w:rsid w:val="00224504"/>
    <w:rsid w:val="002F2EBD"/>
    <w:rsid w:val="004571AF"/>
    <w:rsid w:val="00532ED4"/>
    <w:rsid w:val="005A4AAF"/>
    <w:rsid w:val="00641ADB"/>
    <w:rsid w:val="00672394"/>
    <w:rsid w:val="006736CC"/>
    <w:rsid w:val="0071412E"/>
    <w:rsid w:val="007525AB"/>
    <w:rsid w:val="007746BC"/>
    <w:rsid w:val="00822A87"/>
    <w:rsid w:val="008F35DC"/>
    <w:rsid w:val="00947BC5"/>
    <w:rsid w:val="009550CB"/>
    <w:rsid w:val="00960B84"/>
    <w:rsid w:val="009C1A62"/>
    <w:rsid w:val="009E3258"/>
    <w:rsid w:val="00A41445"/>
    <w:rsid w:val="00A475AE"/>
    <w:rsid w:val="00A97BE5"/>
    <w:rsid w:val="00AB7D0F"/>
    <w:rsid w:val="00B02650"/>
    <w:rsid w:val="00B856BB"/>
    <w:rsid w:val="00B9177D"/>
    <w:rsid w:val="00B926E5"/>
    <w:rsid w:val="00C54BDF"/>
    <w:rsid w:val="00C752D9"/>
    <w:rsid w:val="00D51324"/>
    <w:rsid w:val="00D717CE"/>
    <w:rsid w:val="00DF5B9D"/>
    <w:rsid w:val="00E40DA1"/>
    <w:rsid w:val="00EE4077"/>
    <w:rsid w:val="00F04FB0"/>
    <w:rsid w:val="00F06C8B"/>
    <w:rsid w:val="00F07948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A662-E18C-411D-9857-3BCA2DF8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36</cp:revision>
  <cp:lastPrinted>2018-08-02T11:22:00Z</cp:lastPrinted>
  <dcterms:created xsi:type="dcterms:W3CDTF">2018-07-20T08:29:00Z</dcterms:created>
  <dcterms:modified xsi:type="dcterms:W3CDTF">2018-08-02T11:22:00Z</dcterms:modified>
</cp:coreProperties>
</file>