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88" w:rsidRDefault="00AB1788" w:rsidP="004C63F1">
      <w:pPr>
        <w:jc w:val="center"/>
        <w:rPr>
          <w:rFonts w:ascii="Times New Roman" w:hAnsi="Times New Roman"/>
          <w:b/>
          <w:sz w:val="24"/>
        </w:rPr>
      </w:pPr>
    </w:p>
    <w:p w:rsidR="001C7A71" w:rsidRDefault="004C63F1" w:rsidP="004C63F1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44164">
        <w:rPr>
          <w:rFonts w:ascii="Times New Roman" w:hAnsi="Times New Roman"/>
          <w:b/>
          <w:sz w:val="24"/>
        </w:rPr>
        <w:t xml:space="preserve">ТЕХНИЧЕСКОЕ ЗАДАНИЕ </w:t>
      </w:r>
    </w:p>
    <w:p w:rsidR="00392B81" w:rsidRDefault="00392B81" w:rsidP="004C63F1">
      <w:pPr>
        <w:jc w:val="center"/>
        <w:rPr>
          <w:rFonts w:ascii="Times New Roman" w:hAnsi="Times New Roman"/>
          <w:b/>
          <w:sz w:val="24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82"/>
        <w:gridCol w:w="6946"/>
      </w:tblGrid>
      <w:tr w:rsidR="004C63F1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4C63F1" w:rsidP="004C63F1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C7A71">
              <w:rPr>
                <w:rFonts w:ascii="Times New Roman" w:eastAsia="Calibri" w:hAnsi="Times New Roman"/>
                <w:b/>
                <w:sz w:val="24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4C63F1" w:rsidP="004C63F1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C7A71">
              <w:rPr>
                <w:rFonts w:ascii="Times New Roman" w:eastAsia="Calibri" w:hAnsi="Times New Roman"/>
                <w:b/>
                <w:sz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1D3934" w:rsidP="004C63F1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C7A71">
              <w:rPr>
                <w:rFonts w:ascii="Times New Roman" w:eastAsia="Calibri" w:hAnsi="Times New Roman"/>
                <w:b/>
                <w:sz w:val="24"/>
              </w:rPr>
              <w:t>Условия исполнения контракта</w:t>
            </w:r>
          </w:p>
        </w:tc>
      </w:tr>
      <w:tr w:rsidR="001D3934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1D3934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1D3934" w:rsidP="001D3934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CE4114" w:rsidP="00F4402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Электронный аукцион</w:t>
            </w:r>
          </w:p>
        </w:tc>
      </w:tr>
      <w:tr w:rsidR="004C63F1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4C63F1" w:rsidP="004C63F1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КБК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4C63F1" w:rsidP="008D5B84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393 10 03 031  20 39630/1 323 261</w:t>
            </w:r>
          </w:p>
        </w:tc>
      </w:tr>
      <w:tr w:rsidR="001D3934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1D3934" w:rsidP="004C63F1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ОКПД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057F50" w:rsidP="004C63F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32.50</w:t>
            </w:r>
          </w:p>
        </w:tc>
      </w:tr>
      <w:tr w:rsidR="004C63F1" w:rsidRPr="001C7A71" w:rsidTr="004C63F1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4C63F1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Наименование объекта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4E2B6C" w:rsidP="00057F50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4E2B6C">
              <w:rPr>
                <w:rFonts w:ascii="Times New Roman" w:hAnsi="Times New Roman"/>
                <w:sz w:val="24"/>
              </w:rPr>
              <w:t xml:space="preserve">Выполнение работ по обеспечению застрахованных лиц, пострадавших в результате несчастных случаев на </w:t>
            </w:r>
            <w:proofErr w:type="gramStart"/>
            <w:r w:rsidRPr="004E2B6C">
              <w:rPr>
                <w:rFonts w:ascii="Times New Roman" w:hAnsi="Times New Roman"/>
                <w:sz w:val="24"/>
              </w:rPr>
              <w:t xml:space="preserve">производстве  </w:t>
            </w:r>
            <w:r w:rsidR="00057F50">
              <w:rPr>
                <w:rFonts w:ascii="Times New Roman" w:hAnsi="Times New Roman"/>
                <w:sz w:val="24"/>
              </w:rPr>
              <w:t>протезами</w:t>
            </w:r>
            <w:proofErr w:type="gramEnd"/>
            <w:r w:rsidR="00057F50">
              <w:rPr>
                <w:rFonts w:ascii="Times New Roman" w:hAnsi="Times New Roman"/>
                <w:sz w:val="24"/>
              </w:rPr>
              <w:t xml:space="preserve"> нижних конечностей</w:t>
            </w:r>
            <w:r w:rsidRPr="004E2B6C">
              <w:rPr>
                <w:rFonts w:ascii="Times New Roman" w:hAnsi="Times New Roman"/>
                <w:sz w:val="24"/>
              </w:rPr>
              <w:t xml:space="preserve"> в 2018 году.</w:t>
            </w:r>
          </w:p>
        </w:tc>
      </w:tr>
      <w:tr w:rsidR="004C63F1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4C63F1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Описание объекта закупки в соответствии с требованиями ст. 33 Федерального закона      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13" w:rsidRPr="00EF1B13" w:rsidRDefault="00EF1B13" w:rsidP="00EF1B13">
            <w:pPr>
              <w:jc w:val="both"/>
              <w:rPr>
                <w:rFonts w:ascii="Times New Roman" w:hAnsi="Times New Roman"/>
                <w:sz w:val="24"/>
              </w:rPr>
            </w:pPr>
            <w:r w:rsidRPr="00EF1B13">
              <w:rPr>
                <w:rFonts w:ascii="Times New Roman" w:hAnsi="Times New Roman"/>
                <w:sz w:val="24"/>
              </w:rPr>
              <w:t xml:space="preserve">Протез голени модульный с силиконовым чехлом. Формообразующая часть косметической облицовки – должна быть модульная мягкая полиуретановая. Косметическое покрытие облицовки - чулки ортопедические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перлоновые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. Приёмная гильза должна быть индивидуальная (две пробных гильзы -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термолин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>). Материал индивидуальной постоянной гильзы - литьевой слоистый пластик на основе акриловых смол. Применение вкладной гильзы из вспененных материалов (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педилин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). Крепление протеза должно быть замковое устройство для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техногель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лайнера. Передвижной поворотный РСУ. Должен обеспечивать возможность сдвига между гильзой протеза и несущим модулем. Должен быть изготовлен из титана. Соединение в дистальной части – хомут под трубку 34мм, в проксимальной части –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юстировочные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винты. Системная высота – 51мм. Вес – 185г. Смещение до 11мм. Винтовой РСУ. Должен быть изготовлен из титана. Соединение в дистальной части – хомут под трубку 34мм, в проксимальной части –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юстировочные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винты. Системная высота – 33мм. Вес – 95г. Несущий модуль изготовлен из титана. Соединение в дистальной части должна быть трубка 34мм, в проксимальной части –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юстировочные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винты. Максимальная системная высота – 282мм. Минимальная системная высота – 77мм. Вес – 220г. Шина на колено должна быть с шарниром. Изготовлена из нержавеющей стали. Поставляется парами, в левом и правом исполнении. Стопа должна иметь пружинный элемент из карбона и управляющее кольцо, благодаря которому компенсируются неровности поверхности опоры при ходьбе и обеспечивается упругое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наступание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на пятку. Стопа должна позволять сохранять активность, начиная от медленной ходьбы и до занятия любительским спортом. Вес без косметической оболочки 490г. Строительная высота 81 мм. Высота каблука 5-15 мм.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Силиконгель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лайнер с дистальным соединением, толщина стенки 6 мм, одинаковая по всей поверхности лайнера. Внешнее покрытие –должен быть текстиль высокой прочности. Иметь чрезвычайно гладкое и износостойкое внешнее текстильное покрытие и мягкую дистальную чашу. Иметь матрицу для снижения вращения в дистальной части. Замок для лайнера с бесступенчатой фиксацией и функцией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дотягивания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, соединение в дистальной части – пирамидка. Должен поставляется в комплекте со штырем, с фиксатором. Нейлоновый чехол на культю, для лайнеров с дистальным креплением. Белый, с вулканизированным дистальным кольцом. Состав: полиамид 90%, лайкра 10%. При ампутации на уровне голени длина </w:t>
            </w:r>
            <w:proofErr w:type="gramStart"/>
            <w:r w:rsidRPr="00EF1B13">
              <w:rPr>
                <w:rFonts w:ascii="Times New Roman" w:hAnsi="Times New Roman"/>
                <w:sz w:val="24"/>
              </w:rPr>
              <w:t>составляет  40</w:t>
            </w:r>
            <w:proofErr w:type="gramEnd"/>
            <w:r w:rsidRPr="00EF1B13">
              <w:rPr>
                <w:rFonts w:ascii="Times New Roman" w:hAnsi="Times New Roman"/>
                <w:sz w:val="24"/>
              </w:rPr>
              <w:t xml:space="preserve"> см.</w:t>
            </w:r>
          </w:p>
          <w:p w:rsidR="004C63F1" w:rsidRPr="00EF1B13" w:rsidRDefault="00EF1B13" w:rsidP="00EF1B13">
            <w:pPr>
              <w:jc w:val="both"/>
              <w:rPr>
                <w:rFonts w:ascii="Times New Roman" w:hAnsi="Times New Roman"/>
                <w:sz w:val="24"/>
              </w:rPr>
            </w:pPr>
            <w:r w:rsidRPr="00EF1B13">
              <w:rPr>
                <w:rFonts w:ascii="Times New Roman" w:hAnsi="Times New Roman"/>
                <w:sz w:val="24"/>
              </w:rPr>
              <w:t xml:space="preserve">Махровый чехол на культю для лайнеров с дистальным </w:t>
            </w:r>
            <w:r w:rsidRPr="00EF1B13">
              <w:rPr>
                <w:rFonts w:ascii="Times New Roman" w:hAnsi="Times New Roman"/>
                <w:sz w:val="24"/>
              </w:rPr>
              <w:lastRenderedPageBreak/>
              <w:t xml:space="preserve">креплением. Белый, с вулканизированным дистальным кольцом. Состав: хлопок 85%, лайкра 15%. При ампутации на уровне голени длина </w:t>
            </w:r>
            <w:proofErr w:type="gramStart"/>
            <w:r w:rsidRPr="00EF1B13">
              <w:rPr>
                <w:rFonts w:ascii="Times New Roman" w:hAnsi="Times New Roman"/>
                <w:sz w:val="24"/>
              </w:rPr>
              <w:t>составляет  40</w:t>
            </w:r>
            <w:proofErr w:type="gramEnd"/>
            <w:r w:rsidRPr="00EF1B13">
              <w:rPr>
                <w:rFonts w:ascii="Times New Roman" w:hAnsi="Times New Roman"/>
                <w:sz w:val="24"/>
              </w:rPr>
              <w:t xml:space="preserve"> см. В комплектацию протеза должны входить протез – 1 шт</w:t>
            </w:r>
            <w:r w:rsidR="00264720">
              <w:rPr>
                <w:rFonts w:ascii="Times New Roman" w:hAnsi="Times New Roman"/>
                <w:sz w:val="24"/>
              </w:rPr>
              <w:t>.</w:t>
            </w:r>
            <w:r w:rsidRPr="00EF1B13">
              <w:rPr>
                <w:rFonts w:ascii="Times New Roman" w:hAnsi="Times New Roman"/>
                <w:sz w:val="24"/>
              </w:rPr>
              <w:t>; чехлы махровые на культю – 2 шт.; чехлы нейлоновые на культю – 2 шт.; чехлы из полимерного материала на протез – 2 шт.</w:t>
            </w:r>
          </w:p>
        </w:tc>
      </w:tr>
      <w:tr w:rsidR="004C63F1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lastRenderedPageBreak/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4C63F1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EF1B13" w:rsidRDefault="004E2B6C" w:rsidP="004E2B6C">
            <w:pPr>
              <w:jc w:val="both"/>
              <w:rPr>
                <w:rFonts w:ascii="Times New Roman" w:hAnsi="Times New Roman"/>
                <w:sz w:val="24"/>
              </w:rPr>
            </w:pPr>
            <w:r w:rsidRPr="00EF1B13">
              <w:rPr>
                <w:rFonts w:ascii="Times New Roman" w:hAnsi="Times New Roman"/>
                <w:sz w:val="24"/>
              </w:rPr>
              <w:t>2</w:t>
            </w:r>
            <w:r w:rsidR="004C63F1" w:rsidRPr="00EF1B13">
              <w:rPr>
                <w:rFonts w:ascii="Times New Roman" w:hAnsi="Times New Roman"/>
                <w:sz w:val="24"/>
              </w:rPr>
              <w:t xml:space="preserve"> </w:t>
            </w:r>
            <w:r w:rsidRPr="00EF1B13">
              <w:rPr>
                <w:rFonts w:ascii="Times New Roman" w:hAnsi="Times New Roman"/>
                <w:sz w:val="24"/>
              </w:rPr>
              <w:t>изделия</w:t>
            </w:r>
            <w:r w:rsidR="004C63F1" w:rsidRPr="00EF1B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C63F1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4C63F1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Цена за единицу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EF1B13" w:rsidRDefault="00AD5B77" w:rsidP="0087482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349 675,00</w:t>
            </w:r>
            <w:r w:rsidR="000A781A" w:rsidRPr="00EF1B13">
              <w:rPr>
                <w:rFonts w:ascii="Times New Roman" w:hAnsi="Times New Roman"/>
                <w:sz w:val="24"/>
              </w:rPr>
              <w:t xml:space="preserve"> </w:t>
            </w:r>
            <w:r w:rsidR="004C63F1" w:rsidRPr="00EF1B13">
              <w:rPr>
                <w:rFonts w:ascii="Times New Roman" w:hAnsi="Times New Roman"/>
                <w:sz w:val="24"/>
              </w:rPr>
              <w:t>(</w:t>
            </w:r>
            <w:r w:rsidR="00874820">
              <w:rPr>
                <w:rFonts w:ascii="Times New Roman" w:hAnsi="Times New Roman"/>
                <w:sz w:val="24"/>
              </w:rPr>
              <w:t xml:space="preserve">триста сорок девять </w:t>
            </w:r>
            <w:r w:rsidR="000A781A" w:rsidRPr="00EF1B13">
              <w:rPr>
                <w:rFonts w:ascii="Times New Roman" w:hAnsi="Times New Roman"/>
                <w:sz w:val="24"/>
              </w:rPr>
              <w:t xml:space="preserve">тысяч </w:t>
            </w:r>
            <w:r w:rsidR="00874820">
              <w:rPr>
                <w:rFonts w:ascii="Times New Roman" w:hAnsi="Times New Roman"/>
                <w:sz w:val="24"/>
              </w:rPr>
              <w:t>шестьсот семьдесят пять</w:t>
            </w:r>
            <w:r w:rsidR="00F579B8" w:rsidRPr="00EF1B13">
              <w:rPr>
                <w:rFonts w:ascii="Times New Roman" w:hAnsi="Times New Roman"/>
                <w:sz w:val="24"/>
              </w:rPr>
              <w:t>)</w:t>
            </w:r>
            <w:r w:rsidR="006F631E" w:rsidRPr="00EF1B13">
              <w:rPr>
                <w:rFonts w:ascii="Times New Roman" w:hAnsi="Times New Roman"/>
                <w:sz w:val="24"/>
              </w:rPr>
              <w:t xml:space="preserve"> рубл</w:t>
            </w:r>
            <w:r w:rsidR="00874820">
              <w:rPr>
                <w:rFonts w:ascii="Times New Roman" w:hAnsi="Times New Roman"/>
                <w:sz w:val="24"/>
              </w:rPr>
              <w:t>ей</w:t>
            </w:r>
            <w:r w:rsidR="006F631E" w:rsidRPr="00EF1B13">
              <w:rPr>
                <w:rFonts w:ascii="Times New Roman" w:hAnsi="Times New Roman"/>
                <w:sz w:val="24"/>
              </w:rPr>
              <w:t xml:space="preserve"> </w:t>
            </w:r>
            <w:r w:rsidR="00874820">
              <w:rPr>
                <w:rFonts w:ascii="Times New Roman" w:hAnsi="Times New Roman"/>
                <w:sz w:val="24"/>
              </w:rPr>
              <w:t>00</w:t>
            </w:r>
            <w:r w:rsidR="006F631E" w:rsidRPr="00EF1B13">
              <w:rPr>
                <w:rFonts w:ascii="Times New Roman" w:hAnsi="Times New Roman"/>
                <w:sz w:val="24"/>
              </w:rPr>
              <w:t xml:space="preserve"> копе</w:t>
            </w:r>
            <w:r w:rsidR="00432754" w:rsidRPr="00EF1B13">
              <w:rPr>
                <w:rFonts w:ascii="Times New Roman" w:hAnsi="Times New Roman"/>
                <w:sz w:val="24"/>
              </w:rPr>
              <w:t>йки</w:t>
            </w:r>
            <w:r w:rsidR="004C63F1" w:rsidRPr="00EF1B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C4764F" w:rsidP="000A781A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0A781A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Описание объекта закупки в соответствии с требованиями ст. 33 Федерального закона      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0F46F1" w:rsidRDefault="00EF1B13" w:rsidP="004F23A0">
            <w:pPr>
              <w:jc w:val="both"/>
              <w:rPr>
                <w:rFonts w:ascii="Times New Roman" w:hAnsi="Times New Roman"/>
                <w:sz w:val="24"/>
              </w:rPr>
            </w:pPr>
            <w:r w:rsidRPr="00EF1B13">
              <w:rPr>
                <w:rFonts w:ascii="Times New Roman" w:hAnsi="Times New Roman"/>
                <w:sz w:val="24"/>
              </w:rPr>
              <w:t xml:space="preserve">Протез бедра модульный. Косметическое покрытие облицовки должно быть чулки ортопедические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перлоновые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. Приёмная гильза должна быть индивидуальная (две пробные гильзы из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термолина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). Материал унифицированной постоянной гильзы слоистый пластик на основе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ортокриловых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смол. Допускается применение вкладных гильз из вспененных материалов (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педилин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). Крепление протеза должно быть замковым устройством для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силиконлайнера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. Гильзовый РСУ должен быть с гнездом для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юстировочной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пирамидки, вращаемый, изготовлен из титана. Системная высота – не менее 36 мм. Вес не более 80г. Насадка на гильзу для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ламинирования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, должна быть изготовлена из дерева. Максимальная системная высота не выше 64мм. Минимальная системная высота не </w:t>
            </w:r>
            <w:proofErr w:type="gramStart"/>
            <w:r w:rsidRPr="00EF1B13">
              <w:rPr>
                <w:rFonts w:ascii="Times New Roman" w:hAnsi="Times New Roman"/>
                <w:sz w:val="24"/>
              </w:rPr>
              <w:t>ниже  46</w:t>
            </w:r>
            <w:proofErr w:type="gramEnd"/>
            <w:r w:rsidRPr="00EF1B13">
              <w:rPr>
                <w:rFonts w:ascii="Times New Roman" w:hAnsi="Times New Roman"/>
                <w:sz w:val="24"/>
              </w:rPr>
              <w:t xml:space="preserve">мм. Диаметр насадки не более 147 мм. Вес не более 445 г. Передвижной поворотный РСУ должен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обеспечивть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возможность сдвига между гильзой протеза и несущим модулем, должен быть изготовлен из титана. В дистальной части соединение должно быть хомутом под трубку 34 мм, в проксимальной части должны быть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юстировочные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винты. Системная высота не менее 51 мм. Вес не более 185 г. Смещение не более 11 мм. Несущий модуль должен быть изготовлен из титана. Соединение в дистальной части должна быть трубка 34 мм, в проксимальной части –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юстировочные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винты. Максимальная системная высота не более 472 мм. Минимальная системная высота не менее 77 мм. Вес не более 330 г. Модульный коленный шарнир должен быть многоосный, с гидравлическим управлением фазы переноса, с функцией эластичного контролируемого подгибания колена при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наступании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на пятку, с четырьмя различными соединениями в проксимальной части (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юстировочная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пирамидка,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юстировочная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пирамидка с наклоном 10°, резьбовой разъём, гильзовый РСУ), а в дистальной части с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юстировочной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пирамидкой. Вес не более 940 г, угол сгибания должен быть не менее 175°, материал - алюминий. Системная высота не менее 171 мм и не более 193 мм. Силиконовый лайнер на бедро должен быть с дистальным соединением, точно повторяющий форму культи благодаря высокой эластичности в поперечном направлении. Специальная текстильная матрица материала должна снижать до минимума продольное растягивание. Полимерный материал должен обеспечивать высокую адгезию между культей бедра и лайнером, за счёт чего должна достигаться надежность крепления и высокий уровень безопасности. Толщина стенки должна быть не менее 4,5 мм в дистальной части и не менее 2,5 мм в проксимальной части. Замок для силиконового лайнера должен иметь литой корпус в комплекте со штырем с фиксатором, иметь возможность использоваться со всеми лайнерами с дистальным креплением. Нейлоновый чехол на культю для лайнеров с дистальным </w:t>
            </w:r>
            <w:r w:rsidRPr="00EF1B13">
              <w:rPr>
                <w:rFonts w:ascii="Times New Roman" w:hAnsi="Times New Roman"/>
                <w:sz w:val="24"/>
              </w:rPr>
              <w:lastRenderedPageBreak/>
              <w:t xml:space="preserve">креплением должен быть белый, с вулканизированным дистальным кольцом, состоять из полиамида не менее 90%, лайкры не более 10%. Махровый чехол на культю для лайнеров с дистальным креплением должен </w:t>
            </w:r>
            <w:proofErr w:type="gramStart"/>
            <w:r w:rsidRPr="00EF1B13">
              <w:rPr>
                <w:rFonts w:ascii="Times New Roman" w:hAnsi="Times New Roman"/>
                <w:sz w:val="24"/>
              </w:rPr>
              <w:t>быть  белый</w:t>
            </w:r>
            <w:proofErr w:type="gramEnd"/>
            <w:r w:rsidRPr="00EF1B13">
              <w:rPr>
                <w:rFonts w:ascii="Times New Roman" w:hAnsi="Times New Roman"/>
                <w:sz w:val="24"/>
              </w:rPr>
              <w:t xml:space="preserve">, с вулканизированным дистальным кольцом, состоять из хлопка не менее 85%, лайкры не более 15%. Длина должна составлять не менее 30 см. Стопа должна иметь пружинный элемент из карбона и управляющее кольцо, благодаря которому компенсируются неровности поверхности опоры при ходьбе и обеспечивается упругое </w:t>
            </w:r>
            <w:proofErr w:type="spellStart"/>
            <w:r w:rsidRPr="00EF1B13">
              <w:rPr>
                <w:rFonts w:ascii="Times New Roman" w:hAnsi="Times New Roman"/>
                <w:sz w:val="24"/>
              </w:rPr>
              <w:t>наступание</w:t>
            </w:r>
            <w:proofErr w:type="spellEnd"/>
            <w:r w:rsidRPr="00EF1B13">
              <w:rPr>
                <w:rFonts w:ascii="Times New Roman" w:hAnsi="Times New Roman"/>
                <w:sz w:val="24"/>
              </w:rPr>
              <w:t xml:space="preserve"> на пятку. Стопа должна позволять сохранять активность, начиная от медленной ходьбы и до занятия любительским спортом. Вес без косметической оболочки не более 490г. Строительная высота не более 81 мм. Высота каблука не менее 5мм и не более 15 мм.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C4764F" w:rsidP="000A781A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0A781A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264720" w:rsidP="00264720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 xml:space="preserve"> </w:t>
            </w:r>
            <w:r w:rsidR="000A781A">
              <w:rPr>
                <w:rFonts w:ascii="Times New Roman" w:eastAsia="Calibri" w:hAnsi="Times New Roman"/>
                <w:sz w:val="24"/>
              </w:rPr>
              <w:t>издели</w:t>
            </w:r>
            <w:r>
              <w:rPr>
                <w:rFonts w:ascii="Times New Roman" w:eastAsia="Calibri" w:hAnsi="Times New Roman"/>
                <w:sz w:val="24"/>
              </w:rPr>
              <w:t>е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>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C4764F" w:rsidP="000A781A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0A781A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Цена за единицу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264720" w:rsidP="00264720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496 221,67</w:t>
            </w:r>
            <w:r w:rsidR="00432754">
              <w:rPr>
                <w:rFonts w:ascii="Times New Roman" w:eastAsia="Calibri" w:hAnsi="Times New Roman"/>
                <w:sz w:val="24"/>
              </w:rPr>
              <w:t xml:space="preserve"> 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>(</w:t>
            </w:r>
            <w:r>
              <w:rPr>
                <w:rFonts w:ascii="Times New Roman" w:eastAsia="Calibri" w:hAnsi="Times New Roman"/>
                <w:sz w:val="24"/>
              </w:rPr>
              <w:t>четыреста девяносто шесть</w:t>
            </w:r>
            <w:r w:rsidR="00432754">
              <w:rPr>
                <w:rFonts w:ascii="Times New Roman" w:eastAsia="Calibri" w:hAnsi="Times New Roman"/>
                <w:sz w:val="24"/>
              </w:rPr>
              <w:t xml:space="preserve"> тысяч </w:t>
            </w:r>
            <w:r>
              <w:rPr>
                <w:rFonts w:ascii="Times New Roman" w:eastAsia="Calibri" w:hAnsi="Times New Roman"/>
                <w:sz w:val="24"/>
              </w:rPr>
              <w:t>двести двадцать один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>) рубл</w:t>
            </w:r>
            <w:r>
              <w:rPr>
                <w:rFonts w:ascii="Times New Roman" w:eastAsia="Calibri" w:hAnsi="Times New Roman"/>
                <w:sz w:val="24"/>
              </w:rPr>
              <w:t>ь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67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 xml:space="preserve"> копе</w:t>
            </w:r>
            <w:r>
              <w:rPr>
                <w:rFonts w:ascii="Times New Roman" w:eastAsia="Calibri" w:hAnsi="Times New Roman"/>
                <w:sz w:val="24"/>
              </w:rPr>
              <w:t>ек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>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C4764F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A2136A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НМЦК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264720" w:rsidP="00264720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1 195 571,67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</w:rPr>
              <w:t>один миллион сто девяносто пять</w:t>
            </w:r>
            <w:r w:rsidR="006247EB">
              <w:rPr>
                <w:rFonts w:ascii="Times New Roman" w:eastAsia="Calibri" w:hAnsi="Times New Roman"/>
                <w:sz w:val="24"/>
              </w:rPr>
              <w:t xml:space="preserve"> тысяч</w:t>
            </w:r>
            <w:r w:rsidR="00432754"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пятьсот сем</w:t>
            </w:r>
            <w:r w:rsidR="006247EB">
              <w:rPr>
                <w:rFonts w:ascii="Times New Roman" w:eastAsia="Calibri" w:hAnsi="Times New Roman"/>
                <w:sz w:val="24"/>
              </w:rPr>
              <w:t>ь</w:t>
            </w:r>
            <w:r>
              <w:rPr>
                <w:rFonts w:ascii="Times New Roman" w:eastAsia="Calibri" w:hAnsi="Times New Roman"/>
                <w:sz w:val="24"/>
              </w:rPr>
              <w:t>десят один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>) рубл</w:t>
            </w:r>
            <w:r>
              <w:rPr>
                <w:rFonts w:ascii="Times New Roman" w:eastAsia="Calibri" w:hAnsi="Times New Roman"/>
                <w:sz w:val="24"/>
              </w:rPr>
              <w:t>ь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67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 xml:space="preserve"> копе</w:t>
            </w:r>
            <w:r>
              <w:rPr>
                <w:rFonts w:ascii="Times New Roman" w:eastAsia="Calibri" w:hAnsi="Times New Roman"/>
                <w:sz w:val="24"/>
              </w:rPr>
              <w:t>е</w:t>
            </w:r>
            <w:r w:rsidR="00432754">
              <w:rPr>
                <w:rFonts w:ascii="Times New Roman" w:eastAsia="Calibri" w:hAnsi="Times New Roman"/>
                <w:sz w:val="24"/>
              </w:rPr>
              <w:t>к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>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C4764F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Обоснование НМЦК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537CFD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НМЦК была рассчитана методом сопоставимых рыночных цен (анализа рынка)</w:t>
            </w:r>
            <w:r w:rsidRPr="001C7A71">
              <w:rPr>
                <w:rFonts w:ascii="Times New Roman" w:eastAsia="Calibri" w:hAnsi="Times New Roman"/>
                <w:color w:val="000000"/>
                <w:sz w:val="24"/>
              </w:rPr>
              <w:t xml:space="preserve">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РФ от 02.10.2013 № 567, на основании коммерческих предложений, полученных от исполнителей </w:t>
            </w:r>
            <w:r w:rsidRPr="001C7A71">
              <w:rPr>
                <w:rFonts w:ascii="Times New Roman" w:hAnsi="Times New Roman"/>
                <w:color w:val="000000"/>
                <w:spacing w:val="-2"/>
                <w:sz w:val="24"/>
                <w:lang w:eastAsia="ru-RU"/>
              </w:rPr>
              <w:t>(</w:t>
            </w:r>
            <w:r w:rsidRPr="001C7A71">
              <w:rPr>
                <w:rFonts w:ascii="Times New Roman" w:hAnsi="Times New Roman"/>
                <w:sz w:val="24"/>
              </w:rPr>
              <w:t xml:space="preserve">коммерческие предложения: ФГУП «Иркутское </w:t>
            </w:r>
            <w:proofErr w:type="spellStart"/>
            <w:r w:rsidRPr="001C7A71">
              <w:rPr>
                <w:rFonts w:ascii="Times New Roman" w:hAnsi="Times New Roman"/>
                <w:sz w:val="24"/>
              </w:rPr>
              <w:t>ПрОП</w:t>
            </w:r>
            <w:proofErr w:type="spellEnd"/>
            <w:r w:rsidRPr="001C7A71">
              <w:rPr>
                <w:rFonts w:ascii="Times New Roman" w:hAnsi="Times New Roman"/>
                <w:sz w:val="24"/>
              </w:rPr>
              <w:t>» Минтруда России № 07-21/3807-</w:t>
            </w:r>
            <w:r w:rsidR="00537CFD">
              <w:rPr>
                <w:rFonts w:ascii="Times New Roman" w:hAnsi="Times New Roman"/>
                <w:sz w:val="24"/>
              </w:rPr>
              <w:t>5746</w:t>
            </w:r>
            <w:r w:rsidRPr="001C7A71">
              <w:rPr>
                <w:rFonts w:ascii="Times New Roman" w:hAnsi="Times New Roman"/>
                <w:sz w:val="24"/>
              </w:rPr>
              <w:t>-отв. от 13.08.2018г., ООО «Экспресс-</w:t>
            </w:r>
            <w:proofErr w:type="spellStart"/>
            <w:r w:rsidRPr="001C7A71">
              <w:rPr>
                <w:rFonts w:ascii="Times New Roman" w:hAnsi="Times New Roman"/>
                <w:sz w:val="24"/>
              </w:rPr>
              <w:t>Орто</w:t>
            </w:r>
            <w:proofErr w:type="spellEnd"/>
            <w:r w:rsidRPr="001C7A71">
              <w:rPr>
                <w:rFonts w:ascii="Times New Roman" w:hAnsi="Times New Roman"/>
                <w:sz w:val="24"/>
              </w:rPr>
              <w:t>» № 07-21/3807-57</w:t>
            </w:r>
            <w:r w:rsidR="00537CFD">
              <w:rPr>
                <w:rFonts w:ascii="Times New Roman" w:hAnsi="Times New Roman"/>
                <w:sz w:val="24"/>
              </w:rPr>
              <w:t>80</w:t>
            </w:r>
            <w:r w:rsidRPr="001C7A71">
              <w:rPr>
                <w:rFonts w:ascii="Times New Roman" w:hAnsi="Times New Roman"/>
                <w:sz w:val="24"/>
              </w:rPr>
              <w:t xml:space="preserve">-отв. от 14.08.2018г., ООО «МЕТИЗ ИМПЕКС» № </w:t>
            </w:r>
            <w:r w:rsidR="00537CFD">
              <w:rPr>
                <w:rFonts w:ascii="Times New Roman" w:hAnsi="Times New Roman"/>
                <w:sz w:val="24"/>
              </w:rPr>
              <w:t>8702</w:t>
            </w:r>
            <w:r w:rsidRPr="001C7A71">
              <w:rPr>
                <w:rFonts w:ascii="Times New Roman" w:hAnsi="Times New Roman"/>
                <w:sz w:val="24"/>
              </w:rPr>
              <w:t xml:space="preserve"> от 14.08.2018г</w:t>
            </w:r>
            <w:r w:rsidRPr="001C7A71">
              <w:rPr>
                <w:rFonts w:ascii="Times New Roman" w:hAnsi="Times New Roman"/>
                <w:spacing w:val="-2"/>
                <w:sz w:val="24"/>
                <w:lang w:eastAsia="ru-RU"/>
              </w:rPr>
              <w:t>).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C4764F">
            <w:pPr>
              <w:tabs>
                <w:tab w:val="center" w:pos="244"/>
              </w:tabs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bCs/>
                <w:sz w:val="24"/>
              </w:rPr>
              <w:t>Место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80" w:rsidRDefault="004F23A0" w:rsidP="00B1728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по месту нахождения Исполнителя. В</w:t>
            </w:r>
            <w:r w:rsidR="00B17280">
              <w:rPr>
                <w:rFonts w:ascii="Times New Roman" w:hAnsi="Times New Roman"/>
                <w:color w:val="000000"/>
                <w:sz w:val="24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="00B17280">
              <w:rPr>
                <w:rFonts w:ascii="Times New Roman" w:hAnsi="Times New Roman"/>
                <w:color w:val="000000"/>
                <w:sz w:val="24"/>
              </w:rPr>
              <w:t xml:space="preserve"> работ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контракту осуществляется Исполнителем на основании сведений о Получателе, которому филиалом Заказчика выдано Направление на обеспечение </w:t>
            </w:r>
            <w:r w:rsidR="00C4764F">
              <w:rPr>
                <w:rFonts w:ascii="Times New Roman" w:hAnsi="Times New Roman"/>
                <w:sz w:val="24"/>
              </w:rPr>
              <w:t>протезом нижней конечности</w:t>
            </w:r>
            <w:r w:rsidR="00975E5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17280">
              <w:rPr>
                <w:rFonts w:ascii="Times New Roman" w:hAnsi="Times New Roman"/>
                <w:color w:val="000000"/>
                <w:sz w:val="24"/>
              </w:rPr>
              <w:t>Исполнител</w:t>
            </w:r>
            <w:r>
              <w:rPr>
                <w:rFonts w:ascii="Times New Roman" w:hAnsi="Times New Roman"/>
                <w:color w:val="000000"/>
                <w:sz w:val="24"/>
              </w:rPr>
              <w:t>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</w:t>
            </w:r>
            <w:r w:rsidR="008230B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  невозможности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</w:t>
            </w:r>
          </w:p>
          <w:p w:rsidR="000A781A" w:rsidRPr="001C7A71" w:rsidRDefault="004F23A0" w:rsidP="004F23A0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Допускается доставка результатов работ</w:t>
            </w:r>
            <w:r w:rsidR="00B17280">
              <w:rPr>
                <w:rFonts w:ascii="Times New Roman" w:hAnsi="Times New Roman"/>
                <w:color w:val="000000"/>
                <w:sz w:val="24"/>
              </w:rPr>
              <w:t xml:space="preserve"> по заявлению Получателя почтой по Иркутской области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B172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0A781A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Срок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0A781A" w:rsidP="007F0886">
            <w:pPr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</w:rPr>
            </w:pPr>
            <w:r w:rsidRPr="001C7A71">
              <w:rPr>
                <w:rFonts w:ascii="Times New Roman" w:hAnsi="Times New Roman"/>
                <w:color w:val="000000"/>
                <w:spacing w:val="-2"/>
                <w:sz w:val="24"/>
                <w:lang w:eastAsia="ru-RU"/>
              </w:rPr>
              <w:t>В течение 60 (шестидесяти) дней с момента обращения Получателя с направлением, выданным филиалом Заказчика, но не позднее 7 декабря 2018 года.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Гарантийный срок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BD" w:rsidRDefault="00D325BD" w:rsidP="00D325B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Гарантийный срок пользования 12 (двенадцать) месяцев.</w:t>
            </w:r>
          </w:p>
          <w:p w:rsidR="00D325BD" w:rsidRDefault="00D325BD" w:rsidP="00D325B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пользования: не менее 24 (двадцати четырех) месяцев от даты обеспечения Получателя.</w:t>
            </w:r>
          </w:p>
          <w:p w:rsidR="000A781A" w:rsidRPr="001C7A71" w:rsidRDefault="000A781A" w:rsidP="004F23A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eastAsia="ru-RU"/>
              </w:rPr>
            </w:pPr>
            <w:r w:rsidRPr="001C7A71">
              <w:rPr>
                <w:rFonts w:ascii="Times New Roman" w:hAnsi="Times New Roman"/>
                <w:sz w:val="24"/>
              </w:rPr>
              <w:lastRenderedPageBreak/>
              <w:t>Исполнитель предоставляет гарантию на результат выполненных работ, производит за счет собственных средств, в период гарантийного срока пользования,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lastRenderedPageBreak/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Порядок и срок оплаты выполненных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6548C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eastAsia="ru-RU"/>
              </w:rPr>
            </w:pPr>
            <w:r w:rsidRPr="001C7A71">
              <w:rPr>
                <w:rFonts w:ascii="Times New Roman" w:hAnsi="Times New Roman"/>
                <w:color w:val="000000"/>
                <w:sz w:val="24"/>
              </w:rPr>
              <w:t xml:space="preserve">Исполнитель предоставляет для оплаты Заказчику счета, счета-фактуры </w:t>
            </w:r>
            <w:r w:rsidRPr="001C7A71">
              <w:rPr>
                <w:rFonts w:ascii="Times New Roman" w:hAnsi="Times New Roman"/>
                <w:sz w:val="24"/>
              </w:rPr>
              <w:t>(счета-фактуры передаются, если Поставщик является плательщиком НДС)</w:t>
            </w:r>
            <w:r w:rsidRPr="001C7A71">
              <w:rPr>
                <w:rFonts w:ascii="Times New Roman" w:hAnsi="Times New Roman"/>
                <w:color w:val="000000"/>
                <w:sz w:val="24"/>
              </w:rPr>
              <w:t xml:space="preserve">, Реестры выдачи Товара, Акты сдачи-приемки Товара, </w:t>
            </w:r>
            <w:r w:rsidRPr="001C7A71">
              <w:rPr>
                <w:rFonts w:ascii="Times New Roman" w:hAnsi="Times New Roman"/>
                <w:sz w:val="24"/>
              </w:rPr>
              <w:t xml:space="preserve">Акт выполненных работ, оказанных услуг, поставки Товара в пользу граждан в целях их социального обеспечения </w:t>
            </w:r>
            <w:r w:rsidRPr="001C7A71">
              <w:rPr>
                <w:rFonts w:ascii="Times New Roman" w:hAnsi="Times New Roman"/>
                <w:color w:val="000000"/>
                <w:sz w:val="24"/>
              </w:rPr>
              <w:t>и Отрывные талоны к Направлению не позднее «11» декабря 2018 года.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Срок заключения контракта (у единственного поставщика)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562F82" w:rsidP="00206BE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</w:rPr>
              <w:t>Сент</w:t>
            </w:r>
            <w:r w:rsidR="00D325BD">
              <w:rPr>
                <w:rFonts w:ascii="Times New Roman" w:eastAsia="Calibri" w:hAnsi="Times New Roman"/>
                <w:sz w:val="24"/>
              </w:rPr>
              <w:t>ябрь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 xml:space="preserve"> 2018г.</w:t>
            </w:r>
          </w:p>
        </w:tc>
      </w:tr>
      <w:tr w:rsidR="000A781A" w:rsidRPr="001C7A71" w:rsidTr="0020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Срок действия контракта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pStyle w:val="a5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Декабрь 2018г.</w:t>
            </w:r>
          </w:p>
        </w:tc>
      </w:tr>
      <w:tr w:rsidR="000A781A" w:rsidRPr="001C7A71" w:rsidTr="0020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Аванс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eastAsia="ru-RU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Нет</w:t>
            </w:r>
          </w:p>
        </w:tc>
      </w:tr>
      <w:tr w:rsidR="00D325BD" w:rsidRPr="001C7A71" w:rsidTr="0020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BD" w:rsidRPr="001C7A71" w:rsidRDefault="00C4764F" w:rsidP="009E7D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BD" w:rsidRPr="001C7A71" w:rsidRDefault="00D325BD" w:rsidP="00206BE6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Размер обеспечения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BD" w:rsidRDefault="00D325BD" w:rsidP="00D325BD">
            <w:pPr>
              <w:spacing w:line="200" w:lineRule="atLeast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Размер обеспечения заявки -</w:t>
            </w:r>
            <w:r w:rsidR="00637E36">
              <w:rPr>
                <w:rFonts w:ascii="Times New Roman" w:hAnsi="Times New Roman"/>
                <w:bCs/>
                <w:color w:val="000000"/>
                <w:sz w:val="24"/>
              </w:rPr>
              <w:t>0,5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%</w:t>
            </w:r>
          </w:p>
          <w:p w:rsidR="00D325BD" w:rsidRPr="001C7A71" w:rsidRDefault="00D325BD" w:rsidP="00637E36">
            <w:pPr>
              <w:spacing w:line="200" w:lineRule="atLeast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Размер обеспечения исполнения Государственного контракта-5%</w:t>
            </w:r>
          </w:p>
        </w:tc>
      </w:tr>
      <w:tr w:rsidR="000A781A" w:rsidRPr="001C7A71" w:rsidTr="0020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C4764F" w:rsidP="00597E96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</w:rPr>
            </w:pPr>
            <w:r w:rsidRPr="001C7A71">
              <w:rPr>
                <w:rFonts w:ascii="Times New Roman" w:eastAsia="Calibri" w:hAnsi="Times New Roman"/>
                <w:bCs/>
                <w:color w:val="000000"/>
                <w:sz w:val="24"/>
              </w:rPr>
              <w:t>Требования, предъявляемые к участникам закупки:</w:t>
            </w:r>
          </w:p>
          <w:p w:rsidR="000A781A" w:rsidRPr="001C7A71" w:rsidRDefault="000A781A" w:rsidP="00206BE6">
            <w:pPr>
              <w:rPr>
                <w:rFonts w:ascii="Times New Roman" w:eastAsia="Calibri" w:hAnsi="Times New Roman"/>
                <w:sz w:val="24"/>
              </w:rPr>
            </w:pPr>
            <w:bookmarkStart w:id="1" w:name="sub_3111212"/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bookmarkStart w:id="2" w:name="sub_3112211"/>
            <w:bookmarkEnd w:id="1"/>
            <w:r w:rsidRPr="001C7A71">
              <w:rPr>
                <w:rFonts w:ascii="Times New Roman" w:eastAsia="Calibri" w:hAnsi="Times New Roman"/>
                <w:sz w:val="24"/>
              </w:rPr>
              <w:t>)</w:t>
            </w:r>
            <w:bookmarkEnd w:id="2"/>
            <w:r w:rsidRPr="001C7A71">
              <w:rPr>
                <w:rFonts w:ascii="Times New Roman" w:eastAsia="Calibri" w:hAnsi="Times New Roman"/>
                <w:sz w:val="24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36" w:rsidRPr="002B13EB" w:rsidRDefault="00637E36" w:rsidP="002B13EB">
            <w:pPr>
              <w:jc w:val="both"/>
              <w:rPr>
                <w:rFonts w:ascii="Times New Roman" w:hAnsi="Times New Roman"/>
                <w:sz w:val="24"/>
              </w:rPr>
            </w:pPr>
            <w:r w:rsidRPr="002B13EB">
              <w:rPr>
                <w:rFonts w:ascii="Times New Roman" w:hAnsi="Times New Roman"/>
                <w:sz w:val="24"/>
              </w:rPr>
              <w:t xml:space="preserve">Протезы нижних конечностей должны соответствовать требованиям Национального стандарта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51632-2014 «Технические средства реабилитации людей с ограничениями жизнедеятельности. Общие технические требования и методы испытаний» (утв. приказом Федерального агентства по техническому регулированию и метрологии от 15 октября 2014 г. № 1331-ст); ГОСТ Р ИСО 22523-2007 «Протезы конечностей и </w:t>
            </w:r>
            <w:proofErr w:type="spellStart"/>
            <w:r w:rsidRPr="002B13EB">
              <w:rPr>
                <w:rFonts w:ascii="Times New Roman" w:hAnsi="Times New Roman"/>
                <w:sz w:val="24"/>
              </w:rPr>
              <w:t>ортезы</w:t>
            </w:r>
            <w:proofErr w:type="spellEnd"/>
            <w:r w:rsidRPr="002B13EB">
              <w:rPr>
                <w:rFonts w:ascii="Times New Roman" w:hAnsi="Times New Roman"/>
                <w:sz w:val="24"/>
              </w:rPr>
              <w:t xml:space="preserve"> наружные. Требования и методы испытаний» (утв. приказом Федерального агентства по техническому регулированию и метрологии от 27 декабря 2007 г. № 550-ст); ГОСТ Р 53869-2010 «Протезы нижних конечностей. Технические требования»; </w:t>
            </w:r>
            <w:r w:rsidR="002B13EB" w:rsidRPr="002B13EB">
              <w:rPr>
                <w:rFonts w:ascii="Times New Roman" w:hAnsi="Times New Roman"/>
                <w:sz w:val="24"/>
              </w:rPr>
              <w:t xml:space="preserve">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="002B13EB" w:rsidRPr="002B13EB">
              <w:rPr>
                <w:rFonts w:ascii="Times New Roman" w:hAnsi="Times New Roman"/>
                <w:sz w:val="24"/>
              </w:rPr>
              <w:t>цитотоксичность</w:t>
            </w:r>
            <w:proofErr w:type="spellEnd"/>
            <w:r w:rsidR="002B13EB" w:rsidRPr="002B13EB">
              <w:rPr>
                <w:rFonts w:ascii="Times New Roman" w:hAnsi="Times New Roman"/>
                <w:sz w:val="24"/>
              </w:rPr>
              <w:t xml:space="preserve">: методы </w:t>
            </w:r>
            <w:proofErr w:type="spellStart"/>
            <w:r w:rsidR="002B13EB" w:rsidRPr="002B13EB">
              <w:rPr>
                <w:rFonts w:ascii="Times New Roman" w:hAnsi="Times New Roman"/>
                <w:sz w:val="24"/>
              </w:rPr>
              <w:t>in</w:t>
            </w:r>
            <w:proofErr w:type="spellEnd"/>
            <w:r w:rsidR="002B13EB" w:rsidRPr="002B13E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B13EB" w:rsidRPr="002B13EB">
              <w:rPr>
                <w:rFonts w:ascii="Times New Roman" w:hAnsi="Times New Roman"/>
                <w:sz w:val="24"/>
              </w:rPr>
              <w:t>vitro</w:t>
            </w:r>
            <w:proofErr w:type="spellEnd"/>
            <w:r w:rsidR="002B13EB" w:rsidRPr="002B13EB">
              <w:rPr>
                <w:rFonts w:ascii="Times New Roman" w:hAnsi="Times New Roman"/>
                <w:sz w:val="24"/>
              </w:rPr>
              <w:t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</w:t>
            </w:r>
            <w:r w:rsidR="00122CD0">
              <w:rPr>
                <w:rFonts w:ascii="Times New Roman" w:hAnsi="Times New Roman"/>
                <w:sz w:val="24"/>
              </w:rPr>
              <w:t xml:space="preserve"> </w:t>
            </w:r>
          </w:p>
          <w:p w:rsidR="002038B7" w:rsidRPr="002038B7" w:rsidRDefault="002038B7" w:rsidP="002038B7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Исполнитель должен изготавливать протезы, удовлетворяющие следующим требованиям:</w:t>
            </w:r>
          </w:p>
          <w:p w:rsidR="002038B7" w:rsidRPr="002038B7" w:rsidRDefault="002038B7" w:rsidP="002038B7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- не должно создаваться угрозы для жизни и здоровья Получателя, окружающей среды, а также использование протезов не должно причинять вред имуществу получателя при его эксплуатации;</w:t>
            </w:r>
          </w:p>
          <w:p w:rsidR="002038B7" w:rsidRPr="002038B7" w:rsidRDefault="002038B7" w:rsidP="002038B7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      </w:r>
          </w:p>
          <w:p w:rsidR="000A781A" w:rsidRPr="001C7A71" w:rsidRDefault="002038B7" w:rsidP="002038B7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 xml:space="preserve">- протезы не должны иметь дефектов, связанных с материалами </w:t>
            </w:r>
            <w:r w:rsidRPr="002038B7">
              <w:rPr>
                <w:rFonts w:ascii="Times New Roman" w:hAnsi="Times New Roman"/>
                <w:sz w:val="24"/>
              </w:rPr>
              <w:lastRenderedPageBreak/>
              <w:t>или качеством изготовления, либо проявляющихся в результате действия или упущения Исполнителя при нормальном использовании в обычных условиях.</w:t>
            </w:r>
          </w:p>
        </w:tc>
      </w:tr>
      <w:tr w:rsidR="000A781A" w:rsidRPr="001C7A71" w:rsidTr="0020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C4764F" w:rsidP="00597E96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4C63F1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2038B7" w:rsidRDefault="002038B7" w:rsidP="004F23A0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Качество протезов нижних конечностей должно быть подтверждено декларацией о соответствии, выданной в соответствии с действующим законодательством Российской Федерации</w:t>
            </w:r>
            <w:r w:rsidR="000A781A" w:rsidRPr="002038B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1C7A71" w:rsidRDefault="001C7A71" w:rsidP="00730D3D">
      <w:pPr>
        <w:jc w:val="both"/>
        <w:rPr>
          <w:rFonts w:ascii="Times New Roman" w:hAnsi="Times New Roman"/>
          <w:sz w:val="24"/>
          <w:u w:val="single"/>
        </w:rPr>
      </w:pPr>
    </w:p>
    <w:p w:rsidR="00A5508B" w:rsidRDefault="00A5508B" w:rsidP="00EA2609">
      <w:pPr>
        <w:jc w:val="both"/>
        <w:rPr>
          <w:rFonts w:ascii="Times New Roman" w:hAnsi="Times New Roman"/>
          <w:sz w:val="24"/>
        </w:rPr>
      </w:pPr>
    </w:p>
    <w:sectPr w:rsidR="00A5508B" w:rsidSect="001C7A71">
      <w:pgSz w:w="11906" w:h="16838"/>
      <w:pgMar w:top="709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DD21FD9"/>
    <w:multiLevelType w:val="multilevel"/>
    <w:tmpl w:val="CE0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22E89"/>
    <w:multiLevelType w:val="hybridMultilevel"/>
    <w:tmpl w:val="23CA5718"/>
    <w:lvl w:ilvl="0" w:tplc="F3CEB1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C5819AB"/>
    <w:multiLevelType w:val="multilevel"/>
    <w:tmpl w:val="D85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E"/>
    <w:rsid w:val="00003F61"/>
    <w:rsid w:val="00006662"/>
    <w:rsid w:val="00016281"/>
    <w:rsid w:val="00047B80"/>
    <w:rsid w:val="00052BFA"/>
    <w:rsid w:val="00057F50"/>
    <w:rsid w:val="0007300E"/>
    <w:rsid w:val="000851C6"/>
    <w:rsid w:val="0009398F"/>
    <w:rsid w:val="00097B14"/>
    <w:rsid w:val="000A781A"/>
    <w:rsid w:val="000B6203"/>
    <w:rsid w:val="000C5627"/>
    <w:rsid w:val="000D2EFC"/>
    <w:rsid w:val="000E154E"/>
    <w:rsid w:val="000E636B"/>
    <w:rsid w:val="000F0770"/>
    <w:rsid w:val="000F46F1"/>
    <w:rsid w:val="000F7EA4"/>
    <w:rsid w:val="00101940"/>
    <w:rsid w:val="00105300"/>
    <w:rsid w:val="00113D7A"/>
    <w:rsid w:val="00117D4C"/>
    <w:rsid w:val="001229AC"/>
    <w:rsid w:val="00122CD0"/>
    <w:rsid w:val="001249FF"/>
    <w:rsid w:val="00135E8F"/>
    <w:rsid w:val="00140FE8"/>
    <w:rsid w:val="00162BE5"/>
    <w:rsid w:val="00184936"/>
    <w:rsid w:val="00191570"/>
    <w:rsid w:val="001A0759"/>
    <w:rsid w:val="001B12FB"/>
    <w:rsid w:val="001B7F00"/>
    <w:rsid w:val="001C5C6B"/>
    <w:rsid w:val="001C7A71"/>
    <w:rsid w:val="001D3934"/>
    <w:rsid w:val="001E245D"/>
    <w:rsid w:val="001E3A1E"/>
    <w:rsid w:val="001F7916"/>
    <w:rsid w:val="002038B7"/>
    <w:rsid w:val="00206BE6"/>
    <w:rsid w:val="002201AE"/>
    <w:rsid w:val="00221598"/>
    <w:rsid w:val="00235258"/>
    <w:rsid w:val="002518B8"/>
    <w:rsid w:val="002639DD"/>
    <w:rsid w:val="00264720"/>
    <w:rsid w:val="00264CDD"/>
    <w:rsid w:val="002A0182"/>
    <w:rsid w:val="002A7274"/>
    <w:rsid w:val="002B13EB"/>
    <w:rsid w:val="002D362E"/>
    <w:rsid w:val="002D37F3"/>
    <w:rsid w:val="002D4ED0"/>
    <w:rsid w:val="002E5270"/>
    <w:rsid w:val="002F503B"/>
    <w:rsid w:val="002F613A"/>
    <w:rsid w:val="003047F0"/>
    <w:rsid w:val="0030767B"/>
    <w:rsid w:val="00310C78"/>
    <w:rsid w:val="00340A25"/>
    <w:rsid w:val="003426CF"/>
    <w:rsid w:val="00343A1C"/>
    <w:rsid w:val="003731FF"/>
    <w:rsid w:val="0038122A"/>
    <w:rsid w:val="00390CBE"/>
    <w:rsid w:val="00391150"/>
    <w:rsid w:val="00391D75"/>
    <w:rsid w:val="00392B81"/>
    <w:rsid w:val="00393C82"/>
    <w:rsid w:val="003A06FC"/>
    <w:rsid w:val="003B0AD8"/>
    <w:rsid w:val="003B1639"/>
    <w:rsid w:val="003C7ED3"/>
    <w:rsid w:val="003D6825"/>
    <w:rsid w:val="003D766C"/>
    <w:rsid w:val="003E0168"/>
    <w:rsid w:val="003E0E79"/>
    <w:rsid w:val="003E6466"/>
    <w:rsid w:val="003F5C7D"/>
    <w:rsid w:val="00416AD2"/>
    <w:rsid w:val="004307F9"/>
    <w:rsid w:val="00432754"/>
    <w:rsid w:val="00436787"/>
    <w:rsid w:val="00450E9B"/>
    <w:rsid w:val="004577D0"/>
    <w:rsid w:val="00462BD9"/>
    <w:rsid w:val="00475BEC"/>
    <w:rsid w:val="00484F1C"/>
    <w:rsid w:val="004858A7"/>
    <w:rsid w:val="00490A21"/>
    <w:rsid w:val="00491380"/>
    <w:rsid w:val="004A1868"/>
    <w:rsid w:val="004A2946"/>
    <w:rsid w:val="004A37B1"/>
    <w:rsid w:val="004B38CF"/>
    <w:rsid w:val="004C5BAB"/>
    <w:rsid w:val="004C63F1"/>
    <w:rsid w:val="004E1515"/>
    <w:rsid w:val="004E2B6C"/>
    <w:rsid w:val="004F23A0"/>
    <w:rsid w:val="005001BC"/>
    <w:rsid w:val="00512C8E"/>
    <w:rsid w:val="00531EFD"/>
    <w:rsid w:val="00537CFD"/>
    <w:rsid w:val="00562F82"/>
    <w:rsid w:val="00596A9B"/>
    <w:rsid w:val="00596B23"/>
    <w:rsid w:val="00597E96"/>
    <w:rsid w:val="005A0A07"/>
    <w:rsid w:val="005E0CE3"/>
    <w:rsid w:val="005E6C31"/>
    <w:rsid w:val="0061236B"/>
    <w:rsid w:val="006247EB"/>
    <w:rsid w:val="00637856"/>
    <w:rsid w:val="00637E36"/>
    <w:rsid w:val="006517FC"/>
    <w:rsid w:val="006548C0"/>
    <w:rsid w:val="006764A9"/>
    <w:rsid w:val="00684C42"/>
    <w:rsid w:val="006A1E65"/>
    <w:rsid w:val="006B47D6"/>
    <w:rsid w:val="006C4C5A"/>
    <w:rsid w:val="006E19D4"/>
    <w:rsid w:val="006F631E"/>
    <w:rsid w:val="0070412D"/>
    <w:rsid w:val="00705FD7"/>
    <w:rsid w:val="00730D3D"/>
    <w:rsid w:val="00734929"/>
    <w:rsid w:val="00736758"/>
    <w:rsid w:val="00740753"/>
    <w:rsid w:val="00747D8F"/>
    <w:rsid w:val="00752570"/>
    <w:rsid w:val="00754F24"/>
    <w:rsid w:val="0076437F"/>
    <w:rsid w:val="00774613"/>
    <w:rsid w:val="007856E1"/>
    <w:rsid w:val="007C519D"/>
    <w:rsid w:val="007D2924"/>
    <w:rsid w:val="007F0886"/>
    <w:rsid w:val="007F2380"/>
    <w:rsid w:val="00804066"/>
    <w:rsid w:val="008230B2"/>
    <w:rsid w:val="008244D5"/>
    <w:rsid w:val="00825692"/>
    <w:rsid w:val="00850CAF"/>
    <w:rsid w:val="0085646B"/>
    <w:rsid w:val="00874820"/>
    <w:rsid w:val="00892215"/>
    <w:rsid w:val="008A341E"/>
    <w:rsid w:val="008A4FE8"/>
    <w:rsid w:val="008A7280"/>
    <w:rsid w:val="008B0032"/>
    <w:rsid w:val="008C6495"/>
    <w:rsid w:val="008D5B84"/>
    <w:rsid w:val="008E4822"/>
    <w:rsid w:val="00920FEB"/>
    <w:rsid w:val="00930412"/>
    <w:rsid w:val="009354D6"/>
    <w:rsid w:val="00944032"/>
    <w:rsid w:val="00974A9F"/>
    <w:rsid w:val="00975E5B"/>
    <w:rsid w:val="009832B5"/>
    <w:rsid w:val="009A0043"/>
    <w:rsid w:val="009E7DAE"/>
    <w:rsid w:val="009F5B02"/>
    <w:rsid w:val="00A15765"/>
    <w:rsid w:val="00A15F71"/>
    <w:rsid w:val="00A212EE"/>
    <w:rsid w:val="00A2136A"/>
    <w:rsid w:val="00A44164"/>
    <w:rsid w:val="00A5508B"/>
    <w:rsid w:val="00A857AA"/>
    <w:rsid w:val="00A95F78"/>
    <w:rsid w:val="00A96FC2"/>
    <w:rsid w:val="00AA1615"/>
    <w:rsid w:val="00AB1788"/>
    <w:rsid w:val="00AC688A"/>
    <w:rsid w:val="00AD130A"/>
    <w:rsid w:val="00AD3892"/>
    <w:rsid w:val="00AD5458"/>
    <w:rsid w:val="00AD593E"/>
    <w:rsid w:val="00AD5B77"/>
    <w:rsid w:val="00AF5E54"/>
    <w:rsid w:val="00B040A0"/>
    <w:rsid w:val="00B0792A"/>
    <w:rsid w:val="00B17280"/>
    <w:rsid w:val="00B2399E"/>
    <w:rsid w:val="00B732C9"/>
    <w:rsid w:val="00B8434C"/>
    <w:rsid w:val="00B85146"/>
    <w:rsid w:val="00BA6C87"/>
    <w:rsid w:val="00BB4158"/>
    <w:rsid w:val="00BB6F08"/>
    <w:rsid w:val="00BD4DCC"/>
    <w:rsid w:val="00BD5684"/>
    <w:rsid w:val="00C03F16"/>
    <w:rsid w:val="00C1710E"/>
    <w:rsid w:val="00C21196"/>
    <w:rsid w:val="00C2180B"/>
    <w:rsid w:val="00C33420"/>
    <w:rsid w:val="00C4764F"/>
    <w:rsid w:val="00C53513"/>
    <w:rsid w:val="00C54112"/>
    <w:rsid w:val="00C62573"/>
    <w:rsid w:val="00C90B81"/>
    <w:rsid w:val="00C97076"/>
    <w:rsid w:val="00CA2DDE"/>
    <w:rsid w:val="00CE0D5B"/>
    <w:rsid w:val="00CE4114"/>
    <w:rsid w:val="00CF5F05"/>
    <w:rsid w:val="00D00527"/>
    <w:rsid w:val="00D047A9"/>
    <w:rsid w:val="00D17A60"/>
    <w:rsid w:val="00D325BD"/>
    <w:rsid w:val="00D42B74"/>
    <w:rsid w:val="00D5264E"/>
    <w:rsid w:val="00D63D94"/>
    <w:rsid w:val="00DA0907"/>
    <w:rsid w:val="00DA1157"/>
    <w:rsid w:val="00DA213C"/>
    <w:rsid w:val="00DA4A25"/>
    <w:rsid w:val="00DB29F3"/>
    <w:rsid w:val="00DC24F6"/>
    <w:rsid w:val="00DC3814"/>
    <w:rsid w:val="00DE5CD7"/>
    <w:rsid w:val="00DF0B82"/>
    <w:rsid w:val="00E058FE"/>
    <w:rsid w:val="00E1611B"/>
    <w:rsid w:val="00E20A46"/>
    <w:rsid w:val="00E20B3F"/>
    <w:rsid w:val="00E40B8F"/>
    <w:rsid w:val="00E41171"/>
    <w:rsid w:val="00E57938"/>
    <w:rsid w:val="00E61A60"/>
    <w:rsid w:val="00E76B29"/>
    <w:rsid w:val="00E8581B"/>
    <w:rsid w:val="00EA2609"/>
    <w:rsid w:val="00EB089E"/>
    <w:rsid w:val="00EB0954"/>
    <w:rsid w:val="00EC79FF"/>
    <w:rsid w:val="00EC7CD2"/>
    <w:rsid w:val="00EF1B13"/>
    <w:rsid w:val="00EF57BB"/>
    <w:rsid w:val="00F02AD9"/>
    <w:rsid w:val="00F12A48"/>
    <w:rsid w:val="00F13255"/>
    <w:rsid w:val="00F36B78"/>
    <w:rsid w:val="00F433E6"/>
    <w:rsid w:val="00F44021"/>
    <w:rsid w:val="00F579B8"/>
    <w:rsid w:val="00F65134"/>
    <w:rsid w:val="00F82262"/>
    <w:rsid w:val="00F93FA1"/>
    <w:rsid w:val="00F948C1"/>
    <w:rsid w:val="00FB1BBE"/>
    <w:rsid w:val="00FC5AF0"/>
    <w:rsid w:val="00FD0808"/>
    <w:rsid w:val="00FE690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31B35E-3E0A-4C85-9DF9-2C488328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8E48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F5F05"/>
  </w:style>
  <w:style w:type="paragraph" w:styleId="a9">
    <w:name w:val="Normal (Web)"/>
    <w:basedOn w:val="a"/>
    <w:uiPriority w:val="99"/>
    <w:unhideWhenUsed/>
    <w:rsid w:val="00CF5F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WW-Absatz-Standardschriftart11111111111111111111111111">
    <w:name w:val="WW-Absatz-Standardschriftart11111111111111111111111111"/>
    <w:rsid w:val="00FC5AF0"/>
  </w:style>
  <w:style w:type="paragraph" w:styleId="aa">
    <w:name w:val="Balloon Text"/>
    <w:basedOn w:val="a"/>
    <w:link w:val="ab"/>
    <w:uiPriority w:val="99"/>
    <w:semiHidden/>
    <w:unhideWhenUsed/>
    <w:rsid w:val="00C21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180B"/>
    <w:rPr>
      <w:rFonts w:ascii="Tahoma" w:eastAsia="Arial Unicode MS" w:hAnsi="Tahoma" w:cs="Tahoma"/>
      <w:kern w:val="1"/>
      <w:sz w:val="16"/>
      <w:szCs w:val="16"/>
      <w:lang/>
    </w:rPr>
  </w:style>
  <w:style w:type="character" w:customStyle="1" w:styleId="2">
    <w:name w:val="Основной шрифт абзаца2"/>
    <w:rsid w:val="00EB089E"/>
  </w:style>
  <w:style w:type="character" w:customStyle="1" w:styleId="10">
    <w:name w:val="Заголовок 1 Знак"/>
    <w:link w:val="1"/>
    <w:uiPriority w:val="99"/>
    <w:rsid w:val="008E482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8E482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C344-A8D8-46D7-8681-BF9ADCC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Яскевич Анна Игоревна</cp:lastModifiedBy>
  <cp:revision>4</cp:revision>
  <cp:lastPrinted>2018-08-24T08:21:00Z</cp:lastPrinted>
  <dcterms:created xsi:type="dcterms:W3CDTF">2018-08-31T08:59:00Z</dcterms:created>
  <dcterms:modified xsi:type="dcterms:W3CDTF">2018-08-31T09:00:00Z</dcterms:modified>
</cp:coreProperties>
</file>