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AF1E6A" w:rsidRDefault="00CD1E75" w:rsidP="00CD1E75">
      <w:pPr>
        <w:jc w:val="center"/>
        <w:rPr>
          <w:b/>
          <w:bCs/>
          <w:sz w:val="28"/>
          <w:szCs w:val="28"/>
        </w:rPr>
      </w:pPr>
      <w:r w:rsidRPr="00AF1E6A">
        <w:rPr>
          <w:b/>
          <w:bCs/>
          <w:sz w:val="28"/>
          <w:szCs w:val="28"/>
        </w:rPr>
        <w:t>Техническое задание</w:t>
      </w:r>
    </w:p>
    <w:p w:rsidR="00CD1E75" w:rsidRDefault="00CD1E75" w:rsidP="00CD1E75">
      <w:pPr>
        <w:jc w:val="center"/>
        <w:rPr>
          <w:b/>
          <w:bCs/>
        </w:rPr>
      </w:pPr>
    </w:p>
    <w:p w:rsidR="00503035" w:rsidRDefault="00503035" w:rsidP="00CD1E75"/>
    <w:p w:rsidR="00D96A7D" w:rsidRDefault="00D96A7D" w:rsidP="00D96A7D"/>
    <w:tbl>
      <w:tblPr>
        <w:tblStyle w:val="a9"/>
        <w:tblW w:w="10597" w:type="dxa"/>
        <w:tblInd w:w="-928" w:type="dxa"/>
        <w:tblLayout w:type="fixed"/>
        <w:tblLook w:val="01E0" w:firstRow="1" w:lastRow="1" w:firstColumn="1" w:lastColumn="1" w:noHBand="0" w:noVBand="0"/>
      </w:tblPr>
      <w:tblGrid>
        <w:gridCol w:w="1936"/>
        <w:gridCol w:w="6840"/>
        <w:gridCol w:w="1821"/>
      </w:tblGrid>
      <w:tr w:rsidR="00CE3B47" w:rsidRPr="00FC1AAE" w:rsidTr="00735C5D">
        <w:trPr>
          <w:trHeight w:val="623"/>
        </w:trPr>
        <w:tc>
          <w:tcPr>
            <w:tcW w:w="1936" w:type="dxa"/>
            <w:vAlign w:val="center"/>
          </w:tcPr>
          <w:p w:rsidR="00CE3B47" w:rsidRPr="00FC1AAE" w:rsidRDefault="00CE3B47" w:rsidP="00735C5D">
            <w:pPr>
              <w:jc w:val="center"/>
              <w:rPr>
                <w:sz w:val="22"/>
                <w:szCs w:val="22"/>
              </w:rPr>
            </w:pPr>
            <w:r w:rsidRPr="00FC1AAE">
              <w:rPr>
                <w:sz w:val="22"/>
                <w:szCs w:val="22"/>
              </w:rPr>
              <w:t>Вид изделия</w:t>
            </w:r>
          </w:p>
        </w:tc>
        <w:tc>
          <w:tcPr>
            <w:tcW w:w="6840" w:type="dxa"/>
            <w:vAlign w:val="center"/>
          </w:tcPr>
          <w:p w:rsidR="00CE3B47" w:rsidRPr="00FC1AAE" w:rsidRDefault="00CE3B47" w:rsidP="00735C5D">
            <w:pPr>
              <w:ind w:right="-1931"/>
              <w:rPr>
                <w:sz w:val="22"/>
                <w:szCs w:val="22"/>
              </w:rPr>
            </w:pPr>
            <w:r w:rsidRPr="00FC1AAE">
              <w:rPr>
                <w:sz w:val="22"/>
                <w:szCs w:val="22"/>
              </w:rPr>
              <w:t xml:space="preserve">             Функциональные </w:t>
            </w:r>
            <w:proofErr w:type="gramStart"/>
            <w:r w:rsidRPr="00FC1AAE">
              <w:rPr>
                <w:sz w:val="22"/>
                <w:szCs w:val="22"/>
              </w:rPr>
              <w:t>характеристики  и</w:t>
            </w:r>
            <w:proofErr w:type="gramEnd"/>
            <w:r w:rsidRPr="00FC1AAE">
              <w:rPr>
                <w:sz w:val="22"/>
                <w:szCs w:val="22"/>
              </w:rPr>
              <w:t xml:space="preserve">  технические требования</w:t>
            </w:r>
          </w:p>
        </w:tc>
        <w:tc>
          <w:tcPr>
            <w:tcW w:w="1821" w:type="dxa"/>
            <w:vAlign w:val="center"/>
          </w:tcPr>
          <w:p w:rsidR="00CE3B47" w:rsidRPr="00FC1AAE" w:rsidRDefault="00CE3B47" w:rsidP="00735C5D">
            <w:pPr>
              <w:jc w:val="center"/>
              <w:rPr>
                <w:sz w:val="22"/>
                <w:szCs w:val="22"/>
              </w:rPr>
            </w:pPr>
            <w:r w:rsidRPr="00FC1AAE">
              <w:rPr>
                <w:sz w:val="22"/>
                <w:szCs w:val="22"/>
              </w:rPr>
              <w:t>Колич</w:t>
            </w:r>
            <w:r w:rsidRPr="00FC1AAE">
              <w:rPr>
                <w:sz w:val="22"/>
                <w:szCs w:val="22"/>
              </w:rPr>
              <w:t>е</w:t>
            </w:r>
            <w:r w:rsidRPr="00FC1AAE">
              <w:rPr>
                <w:sz w:val="22"/>
                <w:szCs w:val="22"/>
              </w:rPr>
              <w:t>ство и</w:t>
            </w:r>
            <w:r w:rsidRPr="00FC1AAE">
              <w:rPr>
                <w:sz w:val="22"/>
                <w:szCs w:val="22"/>
              </w:rPr>
              <w:t>з</w:t>
            </w:r>
            <w:r w:rsidRPr="00FC1AAE">
              <w:rPr>
                <w:sz w:val="22"/>
                <w:szCs w:val="22"/>
              </w:rPr>
              <w:t>делий, (шт.)</w:t>
            </w:r>
          </w:p>
        </w:tc>
      </w:tr>
      <w:tr w:rsidR="00CE3B47" w:rsidRPr="00FC1AAE" w:rsidTr="00735C5D">
        <w:trPr>
          <w:trHeight w:val="12262"/>
        </w:trPr>
        <w:tc>
          <w:tcPr>
            <w:tcW w:w="1936" w:type="dxa"/>
          </w:tcPr>
          <w:p w:rsidR="00CE3B47" w:rsidRPr="00FC1AAE" w:rsidRDefault="00CE3B47" w:rsidP="00735C5D">
            <w:pPr>
              <w:jc w:val="center"/>
              <w:rPr>
                <w:sz w:val="22"/>
                <w:szCs w:val="22"/>
              </w:rPr>
            </w:pPr>
            <w:r w:rsidRPr="00FC1AAE">
              <w:rPr>
                <w:sz w:val="22"/>
                <w:szCs w:val="22"/>
              </w:rPr>
              <w:t>Впитывающие простыни (пеленки) размером не менее 60 х 90 см (</w:t>
            </w:r>
            <w:proofErr w:type="spellStart"/>
            <w:r w:rsidRPr="00FC1AAE">
              <w:rPr>
                <w:sz w:val="22"/>
                <w:szCs w:val="22"/>
              </w:rPr>
              <w:t>впитываемостью</w:t>
            </w:r>
            <w:proofErr w:type="spellEnd"/>
            <w:r w:rsidRPr="00FC1AAE">
              <w:rPr>
                <w:sz w:val="22"/>
                <w:szCs w:val="22"/>
              </w:rPr>
              <w:t xml:space="preserve"> от 1200 до 1900 мл)</w:t>
            </w:r>
          </w:p>
        </w:tc>
        <w:tc>
          <w:tcPr>
            <w:tcW w:w="6840" w:type="dxa"/>
          </w:tcPr>
          <w:p w:rsidR="00CE3B47" w:rsidRPr="004C1CEB" w:rsidRDefault="00CE3B47" w:rsidP="00735C5D">
            <w:pPr>
              <w:ind w:firstLine="708"/>
              <w:rPr>
                <w:sz w:val="22"/>
                <w:szCs w:val="22"/>
              </w:rPr>
            </w:pPr>
            <w:r w:rsidRPr="004C1CEB">
              <w:rPr>
                <w:sz w:val="22"/>
                <w:szCs w:val="22"/>
              </w:rPr>
              <w:t xml:space="preserve">Абсорбирующее белье: впитывающие пеленки – </w:t>
            </w:r>
            <w:proofErr w:type="gramStart"/>
            <w:r w:rsidRPr="004C1CEB">
              <w:rPr>
                <w:sz w:val="22"/>
                <w:szCs w:val="22"/>
              </w:rPr>
              <w:t>многослойные  изделия</w:t>
            </w:r>
            <w:proofErr w:type="gramEnd"/>
            <w:r w:rsidRPr="004C1CEB">
              <w:rPr>
                <w:sz w:val="22"/>
                <w:szCs w:val="22"/>
              </w:rPr>
              <w:t xml:space="preserve">   одноразового пользования прямоугольной  формы, выполнены  из распушенной   целлюлозы,   с нижним  слоем из полимерной гидрофобной пленки.</w:t>
            </w:r>
          </w:p>
          <w:p w:rsidR="00CE3B47" w:rsidRPr="004C1CEB" w:rsidRDefault="00CE3B47" w:rsidP="00735C5D">
            <w:pPr>
              <w:ind w:firstLine="708"/>
              <w:rPr>
                <w:sz w:val="22"/>
                <w:szCs w:val="22"/>
              </w:rPr>
            </w:pPr>
            <w:r w:rsidRPr="004C1CEB">
              <w:rPr>
                <w:sz w:val="22"/>
                <w:szCs w:val="22"/>
              </w:rPr>
              <w:t>Требования, предъявляемые к впитывающим простыням (пеленкам):</w:t>
            </w:r>
          </w:p>
          <w:p w:rsidR="00CE3B47" w:rsidRPr="004C1CEB" w:rsidRDefault="00CE3B47" w:rsidP="00735C5D">
            <w:pPr>
              <w:ind w:firstLine="708"/>
              <w:rPr>
                <w:sz w:val="22"/>
                <w:szCs w:val="22"/>
              </w:rPr>
            </w:pPr>
            <w:r w:rsidRPr="004C1CEB">
              <w:rPr>
                <w:sz w:val="22"/>
                <w:szCs w:val="22"/>
              </w:rPr>
              <w:t xml:space="preserve">Впитывающие </w:t>
            </w:r>
            <w:proofErr w:type="gramStart"/>
            <w:r w:rsidRPr="004C1CEB">
              <w:rPr>
                <w:sz w:val="22"/>
                <w:szCs w:val="22"/>
              </w:rPr>
              <w:t>пеленки  должны</w:t>
            </w:r>
            <w:proofErr w:type="gramEnd"/>
            <w:r w:rsidRPr="004C1CEB">
              <w:rPr>
                <w:sz w:val="22"/>
                <w:szCs w:val="22"/>
              </w:rPr>
              <w:t xml:space="preserve"> обеспечивать соблюдение санитарно-гигиенических условий для инвалидов с нарушениями функций выделения. </w:t>
            </w:r>
            <w:proofErr w:type="gramStart"/>
            <w:r w:rsidRPr="004C1CEB">
              <w:rPr>
                <w:sz w:val="22"/>
                <w:szCs w:val="22"/>
              </w:rPr>
              <w:t>Впитывающая  пеленка</w:t>
            </w:r>
            <w:proofErr w:type="gramEnd"/>
            <w:r w:rsidRPr="004C1CEB">
              <w:rPr>
                <w:sz w:val="22"/>
                <w:szCs w:val="22"/>
              </w:rPr>
              <w:t xml:space="preserve">  должна  быть прямоугольной формы и состоять из нескольких слоев: верхний слой из мягкого гидрофильного нетканого материала, позволяющего быстро пропускать жидкость во внутренние слои, внутренний впитывающий слой из распушенной   целлюлозы, нижний слой из полимерной гидрофобной пленки,  не пропускающей влагу. Пеленки предназначены для использования в креслах или кроватях. </w:t>
            </w:r>
          </w:p>
          <w:p w:rsidR="00CE3B47" w:rsidRPr="004C1CEB" w:rsidRDefault="00CE3B47" w:rsidP="00735C5D">
            <w:pPr>
              <w:ind w:firstLine="708"/>
              <w:rPr>
                <w:sz w:val="22"/>
                <w:szCs w:val="22"/>
              </w:rPr>
            </w:pPr>
            <w:r w:rsidRPr="004C1CEB">
              <w:rPr>
                <w:sz w:val="22"/>
                <w:szCs w:val="22"/>
              </w:rPr>
              <w:t>Сырье   и   материалы   для   изготовления   впитывающих пеленок должны быть     разрешены к применению Федеральной службой по надзору в сфере защиты прав потребителей и благополучия человека.</w:t>
            </w:r>
          </w:p>
          <w:p w:rsidR="00CE3B47" w:rsidRPr="004C1CEB" w:rsidRDefault="00CE3B47" w:rsidP="00735C5D">
            <w:pPr>
              <w:ind w:firstLine="708"/>
              <w:rPr>
                <w:sz w:val="22"/>
                <w:szCs w:val="22"/>
              </w:rPr>
            </w:pPr>
            <w:proofErr w:type="gramStart"/>
            <w:r w:rsidRPr="004C1CEB">
              <w:rPr>
                <w:sz w:val="22"/>
                <w:szCs w:val="22"/>
              </w:rPr>
              <w:t>Маркировка  упаковки</w:t>
            </w:r>
            <w:proofErr w:type="gramEnd"/>
            <w:r w:rsidRPr="004C1CEB">
              <w:rPr>
                <w:sz w:val="22"/>
                <w:szCs w:val="22"/>
              </w:rPr>
              <w:t xml:space="preserve"> впитывающих пеленок должна включать:</w:t>
            </w:r>
          </w:p>
          <w:p w:rsidR="00CE3B47" w:rsidRPr="004C1CEB" w:rsidRDefault="00CE3B47" w:rsidP="00735C5D">
            <w:pPr>
              <w:ind w:firstLine="708"/>
              <w:rPr>
                <w:sz w:val="22"/>
                <w:szCs w:val="22"/>
              </w:rPr>
            </w:pPr>
            <w:r w:rsidRPr="004C1CEB">
              <w:rPr>
                <w:sz w:val="22"/>
                <w:szCs w:val="22"/>
              </w:rPr>
              <w:t>- условное обозначение группы впитывающих пеленок, товарную марку;</w:t>
            </w:r>
          </w:p>
          <w:p w:rsidR="00CE3B47" w:rsidRPr="004C1CEB" w:rsidRDefault="00CE3B47" w:rsidP="00735C5D">
            <w:pPr>
              <w:ind w:firstLine="708"/>
              <w:rPr>
                <w:sz w:val="22"/>
                <w:szCs w:val="22"/>
              </w:rPr>
            </w:pPr>
            <w:r w:rsidRPr="004C1CEB">
              <w:rPr>
                <w:sz w:val="22"/>
                <w:szCs w:val="22"/>
              </w:rPr>
              <w:t>- обозначение размера изделия;</w:t>
            </w:r>
          </w:p>
          <w:p w:rsidR="00CE3B47" w:rsidRPr="004C1CEB" w:rsidRDefault="00CE3B47" w:rsidP="00735C5D">
            <w:pPr>
              <w:ind w:firstLine="708"/>
              <w:rPr>
                <w:sz w:val="22"/>
                <w:szCs w:val="22"/>
              </w:rPr>
            </w:pPr>
            <w:r w:rsidRPr="004C1CEB">
              <w:rPr>
                <w:sz w:val="22"/>
                <w:szCs w:val="22"/>
              </w:rPr>
              <w:t>- страну-изготовителя;</w:t>
            </w:r>
          </w:p>
          <w:p w:rsidR="00CE3B47" w:rsidRPr="004C1CEB" w:rsidRDefault="00CE3B47" w:rsidP="00735C5D">
            <w:pPr>
              <w:ind w:firstLine="708"/>
              <w:rPr>
                <w:sz w:val="22"/>
                <w:szCs w:val="22"/>
              </w:rPr>
            </w:pPr>
            <w:r w:rsidRPr="004C1CEB">
              <w:rPr>
                <w:sz w:val="22"/>
                <w:szCs w:val="22"/>
              </w:rPr>
              <w:t>- наименование предприятия-изготовителя, юридический адрес, товарный знак;</w:t>
            </w:r>
          </w:p>
          <w:p w:rsidR="00CE3B47" w:rsidRPr="004C1CEB" w:rsidRDefault="00CE3B47" w:rsidP="00735C5D">
            <w:pPr>
              <w:ind w:firstLine="708"/>
              <w:rPr>
                <w:sz w:val="22"/>
                <w:szCs w:val="22"/>
              </w:rPr>
            </w:pPr>
            <w:r w:rsidRPr="004C1CEB">
              <w:rPr>
                <w:sz w:val="22"/>
                <w:szCs w:val="22"/>
              </w:rPr>
              <w:t xml:space="preserve">- отличительные характеристики впитывающей </w:t>
            </w:r>
            <w:proofErr w:type="gramStart"/>
            <w:r w:rsidRPr="004C1CEB">
              <w:rPr>
                <w:sz w:val="22"/>
                <w:szCs w:val="22"/>
              </w:rPr>
              <w:t>пеленки  в</w:t>
            </w:r>
            <w:proofErr w:type="gramEnd"/>
            <w:r w:rsidRPr="004C1CEB">
              <w:rPr>
                <w:sz w:val="22"/>
                <w:szCs w:val="22"/>
              </w:rPr>
              <w:t xml:space="preserve"> соответствии с их техническим исполнением;</w:t>
            </w:r>
          </w:p>
          <w:p w:rsidR="00CE3B47" w:rsidRPr="004C1CEB" w:rsidRDefault="00CE3B47" w:rsidP="00735C5D">
            <w:pPr>
              <w:ind w:firstLine="708"/>
              <w:rPr>
                <w:sz w:val="22"/>
                <w:szCs w:val="22"/>
              </w:rPr>
            </w:pPr>
            <w:r w:rsidRPr="004C1CEB">
              <w:rPr>
                <w:sz w:val="22"/>
                <w:szCs w:val="22"/>
              </w:rPr>
              <w:t>- номер артикула;</w:t>
            </w:r>
          </w:p>
          <w:p w:rsidR="00CE3B47" w:rsidRPr="004C1CEB" w:rsidRDefault="00CE3B47" w:rsidP="00735C5D">
            <w:pPr>
              <w:ind w:firstLine="708"/>
              <w:rPr>
                <w:sz w:val="22"/>
                <w:szCs w:val="22"/>
              </w:rPr>
            </w:pPr>
            <w:r w:rsidRPr="004C1CEB">
              <w:rPr>
                <w:sz w:val="22"/>
                <w:szCs w:val="22"/>
              </w:rPr>
              <w:t>- количество изделий в упаковке;</w:t>
            </w:r>
          </w:p>
          <w:p w:rsidR="00CE3B47" w:rsidRPr="004C1CEB" w:rsidRDefault="00CE3B47" w:rsidP="00735C5D">
            <w:pPr>
              <w:ind w:firstLine="708"/>
              <w:rPr>
                <w:sz w:val="22"/>
                <w:szCs w:val="22"/>
              </w:rPr>
            </w:pPr>
            <w:r w:rsidRPr="004C1CEB">
              <w:rPr>
                <w:sz w:val="22"/>
                <w:szCs w:val="22"/>
              </w:rPr>
              <w:t>- дату (месяц, год) изготовления;</w:t>
            </w:r>
          </w:p>
          <w:p w:rsidR="00CE3B47" w:rsidRPr="004C1CEB" w:rsidRDefault="00CE3B47" w:rsidP="00735C5D">
            <w:pPr>
              <w:ind w:firstLine="708"/>
              <w:rPr>
                <w:sz w:val="22"/>
                <w:szCs w:val="22"/>
              </w:rPr>
            </w:pPr>
            <w:r w:rsidRPr="004C1CEB">
              <w:rPr>
                <w:sz w:val="22"/>
                <w:szCs w:val="22"/>
              </w:rPr>
              <w:t>- срок годности;</w:t>
            </w:r>
          </w:p>
          <w:p w:rsidR="00CE3B47" w:rsidRPr="004C1CEB" w:rsidRDefault="00CE3B47" w:rsidP="00735C5D">
            <w:pPr>
              <w:ind w:firstLine="708"/>
              <w:rPr>
                <w:sz w:val="22"/>
                <w:szCs w:val="22"/>
              </w:rPr>
            </w:pPr>
            <w:r w:rsidRPr="004C1CEB">
              <w:rPr>
                <w:sz w:val="22"/>
                <w:szCs w:val="22"/>
              </w:rPr>
              <w:t>- правила использования;</w:t>
            </w:r>
          </w:p>
          <w:p w:rsidR="00CE3B47" w:rsidRPr="004C1CEB" w:rsidRDefault="00CE3B47" w:rsidP="00735C5D">
            <w:pPr>
              <w:ind w:firstLine="708"/>
              <w:rPr>
                <w:sz w:val="22"/>
                <w:szCs w:val="22"/>
              </w:rPr>
            </w:pPr>
            <w:r w:rsidRPr="004C1CEB">
              <w:rPr>
                <w:sz w:val="22"/>
                <w:szCs w:val="22"/>
              </w:rPr>
              <w:t xml:space="preserve">- штриховой код </w:t>
            </w:r>
            <w:proofErr w:type="gramStart"/>
            <w:r w:rsidRPr="004C1CEB">
              <w:rPr>
                <w:sz w:val="22"/>
                <w:szCs w:val="22"/>
              </w:rPr>
              <w:t>изделия ;</w:t>
            </w:r>
            <w:proofErr w:type="gramEnd"/>
          </w:p>
          <w:p w:rsidR="00CE3B47" w:rsidRPr="004C1CEB" w:rsidRDefault="00CE3B47" w:rsidP="00735C5D">
            <w:pPr>
              <w:ind w:firstLine="708"/>
              <w:rPr>
                <w:sz w:val="22"/>
                <w:szCs w:val="22"/>
              </w:rPr>
            </w:pPr>
            <w:r w:rsidRPr="004C1CEB">
              <w:rPr>
                <w:sz w:val="22"/>
                <w:szCs w:val="22"/>
              </w:rPr>
              <w:t>- информацию о сертификации.</w:t>
            </w:r>
          </w:p>
          <w:p w:rsidR="00CE3B47" w:rsidRPr="004C1CEB" w:rsidRDefault="00CE3B47" w:rsidP="00735C5D">
            <w:pPr>
              <w:ind w:firstLine="708"/>
              <w:rPr>
                <w:sz w:val="22"/>
                <w:szCs w:val="22"/>
              </w:rPr>
            </w:pPr>
            <w:r w:rsidRPr="004C1CEB">
              <w:rPr>
                <w:sz w:val="22"/>
                <w:szCs w:val="22"/>
              </w:rPr>
              <w:t xml:space="preserve">Маркировка должна быть хорошо различимой, без искажений и пробелов. </w:t>
            </w:r>
          </w:p>
          <w:p w:rsidR="00CE3B47" w:rsidRPr="004C1CEB" w:rsidRDefault="00CE3B47" w:rsidP="00735C5D">
            <w:pPr>
              <w:autoSpaceDE w:val="0"/>
              <w:autoSpaceDN w:val="0"/>
              <w:adjustRightInd w:val="0"/>
              <w:ind w:firstLine="709"/>
              <w:jc w:val="both"/>
              <w:rPr>
                <w:sz w:val="22"/>
                <w:szCs w:val="22"/>
              </w:rPr>
            </w:pPr>
            <w:r w:rsidRPr="004C1CEB">
              <w:rPr>
                <w:sz w:val="22"/>
                <w:szCs w:val="22"/>
              </w:rPr>
              <w:t xml:space="preserve">Впитывающие пеленки </w:t>
            </w:r>
            <w:r w:rsidRPr="004C1CEB">
              <w:rPr>
                <w:spacing w:val="-3"/>
                <w:sz w:val="22"/>
                <w:szCs w:val="22"/>
              </w:rPr>
              <w:t xml:space="preserve">должны быть упакованы </w:t>
            </w:r>
            <w:r w:rsidRPr="004C1CEB">
              <w:rPr>
                <w:sz w:val="22"/>
                <w:szCs w:val="22"/>
              </w:rPr>
              <w:t xml:space="preserve">в заводскую упаковку (пакеты) из полимерной пленки с запаянными швами, с нанесением заводской маркировки </w:t>
            </w:r>
            <w:r w:rsidRPr="004C1CEB">
              <w:rPr>
                <w:b/>
                <w:sz w:val="22"/>
                <w:szCs w:val="22"/>
              </w:rPr>
              <w:t>по 10 или 15 или 30 штук</w:t>
            </w:r>
            <w:r w:rsidRPr="004C1CEB">
              <w:rPr>
                <w:sz w:val="22"/>
                <w:szCs w:val="22"/>
              </w:rPr>
              <w:t xml:space="preserve"> в упаковке или пачки, или коробки, или другую тару, обеспечивающую их сохранность при </w:t>
            </w:r>
            <w:proofErr w:type="gramStart"/>
            <w:r w:rsidRPr="004C1CEB">
              <w:rPr>
                <w:sz w:val="22"/>
                <w:szCs w:val="22"/>
              </w:rPr>
              <w:t>транспортировании  и</w:t>
            </w:r>
            <w:proofErr w:type="gramEnd"/>
            <w:r w:rsidRPr="004C1CEB">
              <w:rPr>
                <w:sz w:val="22"/>
                <w:szCs w:val="22"/>
              </w:rPr>
              <w:t xml:space="preserve"> хранении.  Транспортирование любым видом крытого транспорта в соответствии с правилами перевозки    грузов, действующими на данном виде транспорта. </w:t>
            </w:r>
          </w:p>
          <w:p w:rsidR="00CE3B47" w:rsidRPr="004C1CEB" w:rsidRDefault="00CE3B47" w:rsidP="00735C5D">
            <w:pPr>
              <w:jc w:val="both"/>
              <w:rPr>
                <w:sz w:val="22"/>
                <w:szCs w:val="22"/>
              </w:rPr>
            </w:pPr>
            <w:r w:rsidRPr="004C1CEB">
              <w:rPr>
                <w:sz w:val="22"/>
                <w:szCs w:val="22"/>
              </w:rPr>
              <w:t>Срок годности на изделия должен быть не менее 1 года с момента получения инвалидом.</w:t>
            </w:r>
          </w:p>
        </w:tc>
        <w:tc>
          <w:tcPr>
            <w:tcW w:w="1821" w:type="dxa"/>
            <w:shd w:val="clear" w:color="auto" w:fill="auto"/>
          </w:tcPr>
          <w:p w:rsidR="00CE3B47" w:rsidRPr="00FC1AAE" w:rsidRDefault="00CE3B47" w:rsidP="00735C5D">
            <w:pPr>
              <w:jc w:val="center"/>
              <w:rPr>
                <w:sz w:val="22"/>
                <w:szCs w:val="22"/>
              </w:rPr>
            </w:pPr>
            <w:r>
              <w:rPr>
                <w:sz w:val="22"/>
                <w:szCs w:val="22"/>
              </w:rPr>
              <w:t>390000</w:t>
            </w:r>
          </w:p>
        </w:tc>
      </w:tr>
    </w:tbl>
    <w:p w:rsidR="0073056E" w:rsidRDefault="0073056E" w:rsidP="0073056E"/>
    <w:p w:rsidR="00CE3B47" w:rsidRPr="005F26A2" w:rsidRDefault="00CE3B47" w:rsidP="00CE3B47">
      <w:pPr>
        <w:autoSpaceDE w:val="0"/>
        <w:autoSpaceDN w:val="0"/>
        <w:adjustRightInd w:val="0"/>
        <w:ind w:firstLine="709"/>
        <w:jc w:val="both"/>
        <w:rPr>
          <w:bCs/>
        </w:rPr>
      </w:pPr>
      <w:r w:rsidRPr="005F26A2">
        <w:rPr>
          <w:bCs/>
        </w:rPr>
        <w:lastRenderedPageBreak/>
        <w:t xml:space="preserve">Наличие регистрационных удостоверений на </w:t>
      </w:r>
      <w:r w:rsidRPr="005F26A2">
        <w:t xml:space="preserve">медицинские </w:t>
      </w:r>
      <w:r w:rsidRPr="005F26A2">
        <w:rPr>
          <w:bCs/>
        </w:rPr>
        <w:t xml:space="preserve">изделия обязательно. </w:t>
      </w:r>
    </w:p>
    <w:p w:rsidR="00CE3B47" w:rsidRPr="005F26A2" w:rsidRDefault="00CE3B47" w:rsidP="00CE3B47">
      <w:pPr>
        <w:autoSpaceDE w:val="0"/>
        <w:ind w:firstLine="709"/>
        <w:jc w:val="both"/>
      </w:pPr>
      <w:r w:rsidRPr="005F26A2">
        <w:t xml:space="preserve">Место поставки товара: Получателю предоставляется право выбора способа получения Изделия: по месту жительства Получателя или по месту нахождения пунктов выдачи на территории г. Кургана и Курганской области. </w:t>
      </w:r>
    </w:p>
    <w:p w:rsidR="00CE3B47" w:rsidRPr="00432401" w:rsidRDefault="00CE3B47" w:rsidP="00CE3B47">
      <w:pPr>
        <w:autoSpaceDE w:val="0"/>
        <w:autoSpaceDN w:val="0"/>
        <w:adjustRightInd w:val="0"/>
        <w:ind w:firstLine="709"/>
        <w:jc w:val="both"/>
      </w:pPr>
      <w:r w:rsidRPr="00432401">
        <w:t xml:space="preserve">Срок поставки: до 16.12.2018 года – 100 % товара, но не позднее 5 (Пяти) </w:t>
      </w:r>
      <w:proofErr w:type="gramStart"/>
      <w:r w:rsidRPr="00432401">
        <w:t>рабочих  дней</w:t>
      </w:r>
      <w:proofErr w:type="gramEnd"/>
      <w:r w:rsidRPr="00432401">
        <w:t xml:space="preserve"> с момента получения направления от инвалида, либо получения письменной заявки на поставку инвалидам товара, от Заказчика. </w:t>
      </w:r>
    </w:p>
    <w:p w:rsidR="00CE3B47" w:rsidRPr="00AB71C3" w:rsidRDefault="00CE3B47" w:rsidP="00CE3B47">
      <w:pPr>
        <w:pStyle w:val="ab"/>
        <w:spacing w:before="0" w:after="0"/>
        <w:ind w:firstLine="709"/>
        <w:jc w:val="both"/>
      </w:pPr>
      <w:r w:rsidRPr="00AB71C3">
        <w:t xml:space="preserve">Впитывающие простыни (пеленки) должны соответствовать ГОСТ </w:t>
      </w:r>
      <w:r w:rsidRPr="00AB71C3">
        <w:rPr>
          <w:color w:val="0E141A"/>
        </w:rPr>
        <w:t>ISO</w:t>
      </w:r>
      <w:r w:rsidRPr="00AB71C3">
        <w:t xml:space="preserve"> 10993-1-2011, ГОСТ </w:t>
      </w:r>
      <w:r w:rsidRPr="00AB71C3">
        <w:rPr>
          <w:color w:val="0E141A"/>
        </w:rPr>
        <w:t>ISO</w:t>
      </w:r>
      <w:r w:rsidRPr="00AB71C3">
        <w:t xml:space="preserve"> 10993-5-2011, ГОСТ </w:t>
      </w:r>
      <w:r w:rsidRPr="00AB71C3">
        <w:rPr>
          <w:color w:val="0E141A"/>
        </w:rPr>
        <w:t>ISO</w:t>
      </w:r>
      <w:r w:rsidRPr="00AB71C3">
        <w:t xml:space="preserve"> 10993-10-2011, ГОСТ Р 52770-2016,</w:t>
      </w:r>
      <w:r>
        <w:t xml:space="preserve"> п</w:t>
      </w:r>
      <w:r w:rsidRPr="00AB71C3">
        <w:rPr>
          <w:color w:val="000000"/>
        </w:rPr>
        <w:t>риказ</w:t>
      </w:r>
      <w:r>
        <w:rPr>
          <w:color w:val="000000"/>
        </w:rPr>
        <w:t>у</w:t>
      </w:r>
      <w:r w:rsidRPr="00AB71C3">
        <w:rPr>
          <w:color w:val="000000"/>
        </w:rPr>
        <w:t xml:space="preserve"> Минтруда России от 13.02.2018 №86н (в части размеров и </w:t>
      </w:r>
      <w:proofErr w:type="spellStart"/>
      <w:r w:rsidRPr="00AB71C3">
        <w:rPr>
          <w:color w:val="000000"/>
        </w:rPr>
        <w:t>впитываемости</w:t>
      </w:r>
      <w:proofErr w:type="spellEnd"/>
      <w:r w:rsidRPr="00AB71C3">
        <w:rPr>
          <w:color w:val="000000"/>
        </w:rPr>
        <w:t>)</w:t>
      </w:r>
      <w:r>
        <w:rPr>
          <w:color w:val="000000"/>
        </w:rPr>
        <w:t xml:space="preserve">, </w:t>
      </w:r>
      <w:r w:rsidRPr="00AB71C3">
        <w:rPr>
          <w:color w:val="000000"/>
        </w:rPr>
        <w:t>ГОСТ Р 57762-2017.</w:t>
      </w:r>
    </w:p>
    <w:p w:rsidR="00CE3B47" w:rsidRPr="005F26A2" w:rsidRDefault="00CE3B47" w:rsidP="00CE3B47">
      <w:pPr>
        <w:autoSpaceDE w:val="0"/>
        <w:autoSpaceDN w:val="0"/>
        <w:adjustRightInd w:val="0"/>
        <w:ind w:firstLine="709"/>
        <w:jc w:val="both"/>
      </w:pPr>
      <w:r w:rsidRPr="005F26A2">
        <w:t>.</w:t>
      </w:r>
    </w:p>
    <w:p w:rsidR="00CE3B47" w:rsidRPr="00CD1E75" w:rsidRDefault="00CE3B47" w:rsidP="0073056E">
      <w:bookmarkStart w:id="0" w:name="_GoBack"/>
      <w:bookmarkEnd w:id="0"/>
    </w:p>
    <w:sectPr w:rsidR="00CE3B47" w:rsidRPr="00CD1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2">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50D46"/>
    <w:rsid w:val="0038453B"/>
    <w:rsid w:val="004A2D67"/>
    <w:rsid w:val="00503035"/>
    <w:rsid w:val="0057378C"/>
    <w:rsid w:val="00667533"/>
    <w:rsid w:val="0073056E"/>
    <w:rsid w:val="007346DC"/>
    <w:rsid w:val="00791F37"/>
    <w:rsid w:val="00A454E2"/>
    <w:rsid w:val="00CD1E75"/>
    <w:rsid w:val="00CE3B47"/>
    <w:rsid w:val="00D96A7D"/>
    <w:rsid w:val="00E26595"/>
    <w:rsid w:val="00F152E7"/>
    <w:rsid w:val="00F81FC2"/>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2">
    <w:name w:val="Знак Знак Знак1 Знак"/>
    <w:basedOn w:val="a"/>
    <w:rsid w:val="00F152E7"/>
    <w:pPr>
      <w:suppressAutoHyphens w:val="0"/>
      <w:spacing w:after="160" w:line="240" w:lineRule="exact"/>
    </w:pPr>
    <w:rPr>
      <w:rFonts w:ascii="Verdana" w:hAnsi="Verdana"/>
      <w:sz w:val="20"/>
      <w:szCs w:val="20"/>
      <w:lang w:val="en-US" w:eastAsia="en-US"/>
    </w:rPr>
  </w:style>
  <w:style w:type="paragraph" w:customStyle="1" w:styleId="aa">
    <w:name w:val="Знак"/>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aliases w:val="Обычный (Web)"/>
    <w:basedOn w:val="a"/>
    <w:rsid w:val="00FD0C07"/>
    <w:pPr>
      <w:spacing w:before="280" w:after="280"/>
    </w:pPr>
  </w:style>
  <w:style w:type="paragraph" w:customStyle="1" w:styleId="ac">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d">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e">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af">
    <w:name w:val="Знак"/>
    <w:basedOn w:val="a"/>
    <w:rsid w:val="0073056E"/>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20</cp:revision>
  <cp:lastPrinted>2018-01-31T08:20:00Z</cp:lastPrinted>
  <dcterms:created xsi:type="dcterms:W3CDTF">2018-01-31T08:19:00Z</dcterms:created>
  <dcterms:modified xsi:type="dcterms:W3CDTF">2018-07-20T05:35:00Z</dcterms:modified>
</cp:coreProperties>
</file>