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8A" w:rsidRPr="006E768A" w:rsidRDefault="006E768A" w:rsidP="006E768A">
      <w:pPr>
        <w:jc w:val="both"/>
        <w:rPr>
          <w:b/>
        </w:rPr>
      </w:pPr>
    </w:p>
    <w:p w:rsidR="006E768A" w:rsidRPr="006E768A" w:rsidRDefault="00AF57B6" w:rsidP="006E768A">
      <w:pPr>
        <w:jc w:val="center"/>
        <w:rPr>
          <w:b/>
        </w:rPr>
      </w:pPr>
      <w:r>
        <w:rPr>
          <w:b/>
        </w:rPr>
        <w:t>ТЕХНИЧЕСКОЕ ЗАДАНИЕ</w:t>
      </w:r>
    </w:p>
    <w:p w:rsidR="00C4139C" w:rsidRPr="00C4139C" w:rsidRDefault="00C4139C" w:rsidP="00C4139C">
      <w:pPr>
        <w:spacing w:before="100" w:beforeAutospacing="1" w:after="100" w:afterAutospacing="1"/>
        <w:jc w:val="center"/>
        <w:rPr>
          <w:color w:val="000000"/>
          <w:lang w:eastAsia="ru-RU"/>
        </w:rPr>
      </w:pPr>
      <w:r w:rsidRPr="00C4139C">
        <w:rPr>
          <w:color w:val="000000"/>
          <w:lang w:eastAsia="ru-RU"/>
        </w:rPr>
        <w:t>Противопролежневые матрацы и подушки. Поставка инвалидам в 2018 году.</w:t>
      </w:r>
    </w:p>
    <w:tbl>
      <w:tblPr>
        <w:tblStyle w:val="a6"/>
        <w:tblW w:w="10173" w:type="dxa"/>
        <w:tblLayout w:type="fixed"/>
        <w:tblLook w:val="04A0" w:firstRow="1" w:lastRow="0" w:firstColumn="1" w:lastColumn="0" w:noHBand="0" w:noVBand="1"/>
      </w:tblPr>
      <w:tblGrid>
        <w:gridCol w:w="2235"/>
        <w:gridCol w:w="4252"/>
        <w:gridCol w:w="850"/>
        <w:gridCol w:w="1276"/>
        <w:gridCol w:w="1560"/>
      </w:tblGrid>
      <w:tr w:rsidR="006E768A" w:rsidRPr="006E768A" w:rsidTr="00B232E0">
        <w:tc>
          <w:tcPr>
            <w:tcW w:w="2235" w:type="dxa"/>
            <w:vAlign w:val="center"/>
          </w:tcPr>
          <w:p w:rsidR="006E768A" w:rsidRPr="006E768A" w:rsidRDefault="006E768A" w:rsidP="006E768A">
            <w:pPr>
              <w:jc w:val="center"/>
              <w:rPr>
                <w:b/>
              </w:rPr>
            </w:pPr>
            <w:r w:rsidRPr="006E768A">
              <w:rPr>
                <w:b/>
              </w:rPr>
              <w:t>Наименование Товара</w:t>
            </w:r>
          </w:p>
        </w:tc>
        <w:tc>
          <w:tcPr>
            <w:tcW w:w="4252" w:type="dxa"/>
            <w:vAlign w:val="center"/>
          </w:tcPr>
          <w:p w:rsidR="006E768A" w:rsidRPr="006E768A" w:rsidRDefault="006E768A" w:rsidP="006E768A">
            <w:pPr>
              <w:jc w:val="center"/>
              <w:rPr>
                <w:b/>
              </w:rPr>
            </w:pPr>
            <w:r w:rsidRPr="006E768A">
              <w:rPr>
                <w:b/>
              </w:rPr>
              <w:t>Описание Товара</w:t>
            </w:r>
          </w:p>
        </w:tc>
        <w:tc>
          <w:tcPr>
            <w:tcW w:w="850" w:type="dxa"/>
            <w:vAlign w:val="center"/>
          </w:tcPr>
          <w:p w:rsidR="006E768A" w:rsidRPr="006E768A" w:rsidRDefault="006E768A" w:rsidP="006E768A">
            <w:pPr>
              <w:jc w:val="center"/>
              <w:rPr>
                <w:b/>
              </w:rPr>
            </w:pPr>
            <w:r w:rsidRPr="006E768A">
              <w:rPr>
                <w:b/>
              </w:rPr>
              <w:t>Кол-во, шт.</w:t>
            </w:r>
          </w:p>
        </w:tc>
        <w:tc>
          <w:tcPr>
            <w:tcW w:w="1276" w:type="dxa"/>
            <w:vAlign w:val="center"/>
          </w:tcPr>
          <w:p w:rsidR="006E768A" w:rsidRPr="006E768A" w:rsidRDefault="006E768A" w:rsidP="006E768A">
            <w:pPr>
              <w:jc w:val="center"/>
              <w:rPr>
                <w:b/>
              </w:rPr>
            </w:pPr>
            <w:r w:rsidRPr="006E768A">
              <w:rPr>
                <w:b/>
              </w:rPr>
              <w:t>Цена за единицу Товара, руб.</w:t>
            </w:r>
          </w:p>
        </w:tc>
        <w:tc>
          <w:tcPr>
            <w:tcW w:w="1560" w:type="dxa"/>
            <w:vAlign w:val="center"/>
          </w:tcPr>
          <w:p w:rsidR="006E768A" w:rsidRPr="006E768A" w:rsidRDefault="006E768A" w:rsidP="006E768A">
            <w:pPr>
              <w:jc w:val="center"/>
              <w:rPr>
                <w:b/>
              </w:rPr>
            </w:pPr>
            <w:r w:rsidRPr="006E768A">
              <w:rPr>
                <w:b/>
              </w:rPr>
              <w:t>Сумма, руб.</w:t>
            </w:r>
          </w:p>
        </w:tc>
      </w:tr>
      <w:tr w:rsidR="006E768A" w:rsidRPr="006E768A" w:rsidTr="00B232E0">
        <w:tc>
          <w:tcPr>
            <w:tcW w:w="2235" w:type="dxa"/>
          </w:tcPr>
          <w:p w:rsidR="006E768A" w:rsidRPr="006E768A" w:rsidRDefault="006E768A" w:rsidP="006E768A">
            <w:pPr>
              <w:rPr>
                <w:b/>
              </w:rPr>
            </w:pPr>
            <w:r w:rsidRPr="006E768A">
              <w:rPr>
                <w:b/>
              </w:rPr>
              <w:t>Противопролежневый матрац воздушный (с компрессором)</w:t>
            </w:r>
          </w:p>
        </w:tc>
        <w:tc>
          <w:tcPr>
            <w:tcW w:w="4252" w:type="dxa"/>
            <w:vAlign w:val="center"/>
          </w:tcPr>
          <w:p w:rsidR="006E768A" w:rsidRPr="00971669" w:rsidRDefault="00971669" w:rsidP="0045216A">
            <w:pPr>
              <w:jc w:val="both"/>
            </w:pPr>
            <w:r w:rsidRPr="00971669">
              <w:t xml:space="preserve">Противопролежневый матрац  должен быть предназначен для профилактики и лечения пролежней средней и высокой степени риска у инвалидов с повреждениями и  заболеваниями опорно-двигательного аппарата и центральной нервной системы, тяжелыми соматическими заболеваниями, сопровождающимися длительным вынужденным неподвижным положением тела. Он может быть использован в 24-часовом режиме ухода за инвалидом.  Противопролежневый </w:t>
            </w:r>
            <w:proofErr w:type="gramStart"/>
            <w:r w:rsidRPr="00971669">
              <w:t>матрац  должен</w:t>
            </w:r>
            <w:proofErr w:type="gramEnd"/>
            <w:r w:rsidRPr="00971669">
              <w:t xml:space="preserve"> обеспечивать инвалиду опору при низком контактном давлении с помощью отдельных групп надувных камер (баллонов),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 Должно быть наличие в противопролежневом матраце системы вентиляционных отверстий, которые должны обеспечивать подсушивающее и охлаждающее действие на покровы кожи инвалида. Наполняемость внутреннего объема должен быть  – воздух. Противопролежневый матрац должен быть укомплектован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 Максимальная допустимая нагрузка на изделие должно быть не менее 160 кг. Ячеистый матрац </w:t>
            </w:r>
            <w:r w:rsidRPr="00971669">
              <w:lastRenderedPageBreak/>
              <w:t xml:space="preserve">(камеры разделены на ячейки) должны иметь </w:t>
            </w:r>
            <w:r w:rsidR="0045216A">
              <w:t xml:space="preserve">не менее </w:t>
            </w:r>
            <w:r w:rsidRPr="00971669">
              <w:t>130 воздушных ячеек с вентиляционными (лазерными) отверстиями. Габаритные размеры противопролежневых матрацев в рабочем состоянии должны быть:  Длина: не менее 1800мм. Ширина: не менее 840 мм. Высота:110 мм.</w:t>
            </w:r>
          </w:p>
        </w:tc>
        <w:tc>
          <w:tcPr>
            <w:tcW w:w="850" w:type="dxa"/>
          </w:tcPr>
          <w:p w:rsidR="006E768A" w:rsidRPr="006E768A" w:rsidRDefault="006E768A" w:rsidP="00CC075E">
            <w:pPr>
              <w:jc w:val="center"/>
            </w:pPr>
            <w:r w:rsidRPr="006E768A">
              <w:lastRenderedPageBreak/>
              <w:t xml:space="preserve">1 </w:t>
            </w:r>
            <w:r w:rsidR="00CC075E">
              <w:t>050</w:t>
            </w:r>
          </w:p>
        </w:tc>
        <w:tc>
          <w:tcPr>
            <w:tcW w:w="1276" w:type="dxa"/>
          </w:tcPr>
          <w:p w:rsidR="006E768A" w:rsidRPr="006E768A" w:rsidRDefault="006E768A" w:rsidP="002C0934">
            <w:pPr>
              <w:jc w:val="center"/>
            </w:pPr>
            <w:r w:rsidRPr="006E768A">
              <w:t xml:space="preserve">2 </w:t>
            </w:r>
            <w:r w:rsidR="002C0934">
              <w:t>719</w:t>
            </w:r>
            <w:r w:rsidRPr="006E768A">
              <w:t>,</w:t>
            </w:r>
            <w:r w:rsidR="002C0934">
              <w:t>37</w:t>
            </w:r>
          </w:p>
        </w:tc>
        <w:tc>
          <w:tcPr>
            <w:tcW w:w="1560" w:type="dxa"/>
          </w:tcPr>
          <w:p w:rsidR="006E768A" w:rsidRPr="006E768A" w:rsidRDefault="00CC075E" w:rsidP="00CC075E">
            <w:pPr>
              <w:jc w:val="center"/>
            </w:pPr>
            <w:r>
              <w:t>2</w:t>
            </w:r>
            <w:r w:rsidR="006E768A" w:rsidRPr="006E768A">
              <w:t xml:space="preserve"> </w:t>
            </w:r>
            <w:r>
              <w:t>855</w:t>
            </w:r>
            <w:r w:rsidR="006E768A" w:rsidRPr="006E768A">
              <w:t xml:space="preserve"> </w:t>
            </w:r>
            <w:r>
              <w:t>338</w:t>
            </w:r>
            <w:r w:rsidR="006E768A" w:rsidRPr="006E768A">
              <w:t>,</w:t>
            </w:r>
            <w:r>
              <w:t>5</w:t>
            </w:r>
            <w:r w:rsidR="006E768A" w:rsidRPr="006E768A">
              <w:t>0</w:t>
            </w:r>
          </w:p>
        </w:tc>
      </w:tr>
      <w:tr w:rsidR="006E768A" w:rsidRPr="006E768A" w:rsidTr="00B232E0">
        <w:tc>
          <w:tcPr>
            <w:tcW w:w="2235" w:type="dxa"/>
          </w:tcPr>
          <w:p w:rsidR="006E768A" w:rsidRPr="006E768A" w:rsidRDefault="006E768A" w:rsidP="006E768A">
            <w:pPr>
              <w:jc w:val="both"/>
              <w:rPr>
                <w:b/>
              </w:rPr>
            </w:pPr>
            <w:r w:rsidRPr="006E768A">
              <w:rPr>
                <w:b/>
              </w:rPr>
              <w:lastRenderedPageBreak/>
              <w:t>Противопро</w:t>
            </w:r>
          </w:p>
          <w:p w:rsidR="006E768A" w:rsidRPr="006E768A" w:rsidRDefault="006E768A" w:rsidP="006E768A">
            <w:pPr>
              <w:jc w:val="both"/>
            </w:pPr>
            <w:r w:rsidRPr="006E768A">
              <w:rPr>
                <w:b/>
              </w:rPr>
              <w:t>лежневый матрац полиуретановый</w:t>
            </w:r>
          </w:p>
        </w:tc>
        <w:tc>
          <w:tcPr>
            <w:tcW w:w="4252" w:type="dxa"/>
            <w:vAlign w:val="center"/>
          </w:tcPr>
          <w:p w:rsidR="006E768A" w:rsidRPr="006E768A" w:rsidRDefault="00971669" w:rsidP="00A74BE0">
            <w:pPr>
              <w:jc w:val="both"/>
            </w:pPr>
            <w:r w:rsidRPr="00971669">
              <w:t>Противопролежневый матрац  должен быть предназначен для профилактики возникновения пролежней, создания комфорта и устойчивого положения тела для инвалидов, длительно находящихся на постельном режиме. Характеристика матраца: Должен быть Упругий вязко-эластичный пенополиуретан. Максимальная допустимая н</w:t>
            </w:r>
            <w:r w:rsidR="00A74BE0">
              <w:t xml:space="preserve">агрузка на изделие должна быть </w:t>
            </w:r>
            <w:r w:rsidRPr="00971669">
              <w:t>не более 130 кг. Длина: не менее 1800 мм. Ширина: не менее 840 мм. Высота: не менее 40 мм.</w:t>
            </w:r>
          </w:p>
        </w:tc>
        <w:tc>
          <w:tcPr>
            <w:tcW w:w="850" w:type="dxa"/>
          </w:tcPr>
          <w:p w:rsidR="006E768A" w:rsidRPr="006E768A" w:rsidRDefault="00CC075E" w:rsidP="006D25DB">
            <w:pPr>
              <w:jc w:val="center"/>
            </w:pPr>
            <w:r>
              <w:t>2</w:t>
            </w:r>
            <w:r w:rsidR="00997637">
              <w:t>50</w:t>
            </w:r>
          </w:p>
        </w:tc>
        <w:tc>
          <w:tcPr>
            <w:tcW w:w="1276" w:type="dxa"/>
          </w:tcPr>
          <w:p w:rsidR="006E768A" w:rsidRPr="006E768A" w:rsidRDefault="006E768A" w:rsidP="00C1419C">
            <w:pPr>
              <w:jc w:val="center"/>
            </w:pPr>
            <w:r w:rsidRPr="006E768A">
              <w:t>5 6</w:t>
            </w:r>
            <w:r w:rsidR="00C1419C">
              <w:t>98</w:t>
            </w:r>
            <w:r w:rsidRPr="006E768A">
              <w:t>,</w:t>
            </w:r>
            <w:r w:rsidR="00C1419C">
              <w:t>00</w:t>
            </w:r>
          </w:p>
        </w:tc>
        <w:tc>
          <w:tcPr>
            <w:tcW w:w="1560" w:type="dxa"/>
          </w:tcPr>
          <w:p w:rsidR="006E768A" w:rsidRPr="006E768A" w:rsidRDefault="00CC075E" w:rsidP="00CC075E">
            <w:pPr>
              <w:jc w:val="center"/>
            </w:pPr>
            <w:r>
              <w:t>1 424</w:t>
            </w:r>
            <w:r w:rsidR="006E768A" w:rsidRPr="006E768A">
              <w:t xml:space="preserve"> </w:t>
            </w:r>
            <w:r>
              <w:t>5</w:t>
            </w:r>
            <w:r w:rsidR="00997637">
              <w:t>00</w:t>
            </w:r>
            <w:r w:rsidR="006E768A" w:rsidRPr="006E768A">
              <w:t>,00</w:t>
            </w:r>
          </w:p>
        </w:tc>
      </w:tr>
      <w:tr w:rsidR="006E768A" w:rsidRPr="006E768A" w:rsidTr="00B232E0">
        <w:tc>
          <w:tcPr>
            <w:tcW w:w="2235" w:type="dxa"/>
          </w:tcPr>
          <w:p w:rsidR="006E768A" w:rsidRPr="006E768A" w:rsidRDefault="006E768A" w:rsidP="006E768A">
            <w:pPr>
              <w:jc w:val="both"/>
              <w:rPr>
                <w:b/>
              </w:rPr>
            </w:pPr>
            <w:r w:rsidRPr="006E768A">
              <w:rPr>
                <w:b/>
              </w:rPr>
              <w:t>Противопро</w:t>
            </w:r>
          </w:p>
          <w:p w:rsidR="006E768A" w:rsidRPr="006E768A" w:rsidRDefault="006E768A" w:rsidP="006E768A">
            <w:pPr>
              <w:jc w:val="both"/>
            </w:pPr>
            <w:r w:rsidRPr="006E768A">
              <w:rPr>
                <w:b/>
              </w:rPr>
              <w:t>лежневый матрац гелевый</w:t>
            </w:r>
          </w:p>
        </w:tc>
        <w:tc>
          <w:tcPr>
            <w:tcW w:w="4252" w:type="dxa"/>
            <w:vAlign w:val="center"/>
          </w:tcPr>
          <w:p w:rsidR="006E768A" w:rsidRPr="006E768A" w:rsidRDefault="00971669" w:rsidP="00F076B6">
            <w:pPr>
              <w:jc w:val="both"/>
            </w:pPr>
            <w:r w:rsidRPr="00971669">
              <w:t>Противопролежневый матрац должен быть предназначен для профилактики пролежней у больных, длительно находящихся на постельном режиме и подверженных риску развития трофических нарушений в местах соприкосновения кожи с постельным бельем.  Наполнитель внутреннего объема противопролежневого матраца должен быть - гель, распределенный в ячейки. В разных сегментах степень наполнения различна, что должно обеспечивать эффективное перераспределения давления. Максимальная допустимая нагрузка на изделие должно быть не менее 120 кг. Длина: не менее 1800 мм. Ширина: не менее 840 мм. Высота: не менее 40 мм.</w:t>
            </w:r>
          </w:p>
        </w:tc>
        <w:tc>
          <w:tcPr>
            <w:tcW w:w="850" w:type="dxa"/>
          </w:tcPr>
          <w:p w:rsidR="006E768A" w:rsidRPr="006E768A" w:rsidRDefault="00CC075E" w:rsidP="00C1419C">
            <w:pPr>
              <w:jc w:val="center"/>
            </w:pPr>
            <w:r>
              <w:t>5</w:t>
            </w:r>
            <w:r w:rsidR="00997637">
              <w:t>0</w:t>
            </w:r>
          </w:p>
        </w:tc>
        <w:tc>
          <w:tcPr>
            <w:tcW w:w="1276" w:type="dxa"/>
          </w:tcPr>
          <w:p w:rsidR="006E768A" w:rsidRPr="006E768A" w:rsidRDefault="006E768A" w:rsidP="00C1419C">
            <w:pPr>
              <w:jc w:val="center"/>
            </w:pPr>
            <w:r w:rsidRPr="006E768A">
              <w:t>1</w:t>
            </w:r>
            <w:r w:rsidR="00C1419C">
              <w:t>4</w:t>
            </w:r>
            <w:r w:rsidRPr="006E768A">
              <w:t xml:space="preserve"> </w:t>
            </w:r>
            <w:r w:rsidR="00C1419C">
              <w:t>117</w:t>
            </w:r>
            <w:r w:rsidRPr="006E768A">
              <w:t>,</w:t>
            </w:r>
            <w:r w:rsidR="00C1419C">
              <w:t>1</w:t>
            </w:r>
            <w:r w:rsidRPr="006E768A">
              <w:t>4</w:t>
            </w:r>
          </w:p>
        </w:tc>
        <w:tc>
          <w:tcPr>
            <w:tcW w:w="1560" w:type="dxa"/>
          </w:tcPr>
          <w:p w:rsidR="006E768A" w:rsidRPr="006E768A" w:rsidRDefault="00CC075E" w:rsidP="00CC075E">
            <w:pPr>
              <w:jc w:val="center"/>
            </w:pPr>
            <w:r>
              <w:t>705</w:t>
            </w:r>
            <w:r w:rsidR="006E768A" w:rsidRPr="006E768A">
              <w:t xml:space="preserve"> </w:t>
            </w:r>
            <w:r>
              <w:t>857</w:t>
            </w:r>
            <w:r w:rsidR="006E768A" w:rsidRPr="006E768A">
              <w:t>,</w:t>
            </w:r>
            <w:r>
              <w:t>0</w:t>
            </w:r>
            <w:r w:rsidR="00997637">
              <w:t>0</w:t>
            </w:r>
          </w:p>
        </w:tc>
      </w:tr>
      <w:tr w:rsidR="006E768A" w:rsidRPr="006E768A" w:rsidTr="00B232E0">
        <w:tc>
          <w:tcPr>
            <w:tcW w:w="2235" w:type="dxa"/>
          </w:tcPr>
          <w:p w:rsidR="006E768A" w:rsidRPr="006E768A" w:rsidRDefault="006E768A" w:rsidP="00064B1C">
            <w:pPr>
              <w:rPr>
                <w:b/>
              </w:rPr>
            </w:pPr>
            <w:r w:rsidRPr="006E768A">
              <w:rPr>
                <w:b/>
              </w:rPr>
              <w:t>Противопролежневая подушка полиуретановая</w:t>
            </w:r>
          </w:p>
        </w:tc>
        <w:tc>
          <w:tcPr>
            <w:tcW w:w="4252" w:type="dxa"/>
            <w:vAlign w:val="center"/>
          </w:tcPr>
          <w:p w:rsidR="006E768A" w:rsidRPr="006E768A" w:rsidRDefault="00971669" w:rsidP="00F076B6">
            <w:pPr>
              <w:jc w:val="both"/>
            </w:pPr>
            <w:r w:rsidRPr="00971669">
              <w:t xml:space="preserve">Противопролежневая подушка должна быть предназначена для использования при заболеваниях опорно-двигательного аппарата, поражениях кожного покрова, в том числе в лечении и профилактике образования пролежневых ран, при которых инвалиды неподвижны и в большой степени подвержены риску их возникновения. Противопролежневая подушка должна обеспечивать комфорт и устойчивое положение для инвалидов, длительно эксплуатирующих кресла-коляски, </w:t>
            </w:r>
            <w:r w:rsidRPr="00971669">
              <w:lastRenderedPageBreak/>
              <w:t>разгружает поясничный отдел позвоночника при длительном сидении на одном месте. Наполнение внутреннего объема противопролежневой подушки должен быть вязко</w:t>
            </w:r>
            <w:r>
              <w:t>-</w:t>
            </w:r>
            <w:r w:rsidRPr="00971669">
              <w:t>эластичный упругий пенополиуретан.  Вязко</w:t>
            </w:r>
            <w:r>
              <w:t>-</w:t>
            </w:r>
            <w:r w:rsidRPr="00971669">
              <w:t>эластичный пенополиуретан за счет эффекта «памяти» должен принимать форму тела сидящего человека и увеличивает площадь опоры. Это должно способствовать уменьшению вертикальной нагрузки на позвоночный столб. Благодаря равномерному распределению давления на все отделы позвоночника и область малого таза нормализуется тонус мышц спины, что должно приводить к улучшению циркуляции крови и ликвидации застоя крови в областях малого таза. Подушка должна иметь анатомическую форму -профильное основание со стабильной основой и два углубления для задней поверхности бедра. Такая конструкция  должна обеспечивать стабильность положения сидящего и одновременно улучшает его осанку. Максимальная допустимая нагрузка на изделие – не менее 120 кг. Длина: не менее 370мм; Ширина: не менее 370 мм; Высота: не менее 40 мм.</w:t>
            </w:r>
          </w:p>
        </w:tc>
        <w:tc>
          <w:tcPr>
            <w:tcW w:w="850" w:type="dxa"/>
          </w:tcPr>
          <w:p w:rsidR="006E768A" w:rsidRPr="006E768A" w:rsidRDefault="00CC075E" w:rsidP="006D25DB">
            <w:pPr>
              <w:jc w:val="center"/>
            </w:pPr>
            <w:r>
              <w:lastRenderedPageBreak/>
              <w:t>4</w:t>
            </w:r>
            <w:r w:rsidR="00D9707E">
              <w:t>00</w:t>
            </w:r>
          </w:p>
        </w:tc>
        <w:tc>
          <w:tcPr>
            <w:tcW w:w="1276" w:type="dxa"/>
          </w:tcPr>
          <w:p w:rsidR="006E768A" w:rsidRPr="006E768A" w:rsidRDefault="006E768A" w:rsidP="00C1419C">
            <w:pPr>
              <w:jc w:val="center"/>
            </w:pPr>
            <w:r w:rsidRPr="006E768A">
              <w:t>1 5</w:t>
            </w:r>
            <w:r w:rsidR="00C1419C">
              <w:t>49</w:t>
            </w:r>
            <w:r w:rsidRPr="006E768A">
              <w:t>,</w:t>
            </w:r>
            <w:r w:rsidR="00C1419C">
              <w:t>87</w:t>
            </w:r>
          </w:p>
        </w:tc>
        <w:tc>
          <w:tcPr>
            <w:tcW w:w="1560" w:type="dxa"/>
          </w:tcPr>
          <w:p w:rsidR="006E768A" w:rsidRPr="006E768A" w:rsidRDefault="00CC075E" w:rsidP="00CC075E">
            <w:pPr>
              <w:jc w:val="center"/>
            </w:pPr>
            <w:r>
              <w:t>619</w:t>
            </w:r>
            <w:r w:rsidR="006E768A" w:rsidRPr="006E768A">
              <w:t xml:space="preserve"> </w:t>
            </w:r>
            <w:r>
              <w:t>948</w:t>
            </w:r>
            <w:r w:rsidR="006E768A" w:rsidRPr="006E768A">
              <w:t>,</w:t>
            </w:r>
            <w:r w:rsidR="00D9707E">
              <w:t>0</w:t>
            </w:r>
            <w:r w:rsidR="006E768A" w:rsidRPr="006E768A">
              <w:t>0</w:t>
            </w:r>
          </w:p>
        </w:tc>
      </w:tr>
      <w:tr w:rsidR="006E768A" w:rsidRPr="006E768A" w:rsidTr="00B232E0">
        <w:tc>
          <w:tcPr>
            <w:tcW w:w="2235" w:type="dxa"/>
          </w:tcPr>
          <w:p w:rsidR="006E768A" w:rsidRPr="006E768A" w:rsidRDefault="006E768A" w:rsidP="006D25DB">
            <w:pPr>
              <w:rPr>
                <w:b/>
              </w:rPr>
            </w:pPr>
            <w:r w:rsidRPr="006E768A">
              <w:rPr>
                <w:b/>
              </w:rPr>
              <w:lastRenderedPageBreak/>
              <w:t>Противопролежневая подушка воздушная</w:t>
            </w:r>
          </w:p>
        </w:tc>
        <w:tc>
          <w:tcPr>
            <w:tcW w:w="4252" w:type="dxa"/>
          </w:tcPr>
          <w:p w:rsidR="006E768A" w:rsidRPr="006E768A" w:rsidRDefault="00971669" w:rsidP="00343125">
            <w:pPr>
              <w:jc w:val="both"/>
            </w:pPr>
            <w:r w:rsidRPr="00971669">
              <w:t xml:space="preserve">Противопролежневая подушка предназначена для инвалидов с патологией опорно-двигательного аппарата, вынужденных длительное время находится в кресле-коляске, подвергнутых риску развития пролежней. Изделие состоит из небольших надувных камер, в которые компрессором попеременно нагнетается и устраняется воздух. Такое механическое воздействие способствует улучшению кровообращению тканей, предотвращая застойные явления и развитие пролежней. Подушка соответствует размерам кресла-коляски, обеспечивает защиту спины, копчика и посадочной поверхности. Глубокое погружение достигается путем поддержания внутреннего давления воздуха в подушке, не </w:t>
            </w:r>
            <w:r w:rsidRPr="00971669">
              <w:lastRenderedPageBreak/>
              <w:t>позволяя любой части тела, особенно костным выступам, прикоснутся к базе опоры.  Наполнение внутреннего объема противопролежневой подушки – воздух. Максимальная допустимая нагрузка на изделие – не менее 120 кг.</w:t>
            </w:r>
            <w:r>
              <w:t xml:space="preserve"> </w:t>
            </w:r>
            <w:r w:rsidRPr="00971669">
              <w:t xml:space="preserve">Длина: </w:t>
            </w:r>
            <w:r>
              <w:t xml:space="preserve">не менее </w:t>
            </w:r>
            <w:r w:rsidRPr="00971669">
              <w:t>400 мм.  Ширина:</w:t>
            </w:r>
            <w:r>
              <w:t xml:space="preserve"> не менее </w:t>
            </w:r>
            <w:r w:rsidRPr="00971669">
              <w:t>400</w:t>
            </w:r>
            <w:r>
              <w:t xml:space="preserve"> </w:t>
            </w:r>
            <w:r w:rsidRPr="00971669">
              <w:t xml:space="preserve">мм. Высота: </w:t>
            </w:r>
            <w:r>
              <w:t xml:space="preserve">не менее </w:t>
            </w:r>
            <w:r w:rsidRPr="00971669">
              <w:t>60 мм.</w:t>
            </w:r>
          </w:p>
        </w:tc>
        <w:tc>
          <w:tcPr>
            <w:tcW w:w="850" w:type="dxa"/>
          </w:tcPr>
          <w:p w:rsidR="006E768A" w:rsidRPr="006E768A" w:rsidRDefault="00CC075E" w:rsidP="006D25DB">
            <w:pPr>
              <w:jc w:val="center"/>
            </w:pPr>
            <w:r>
              <w:lastRenderedPageBreak/>
              <w:t>125</w:t>
            </w:r>
          </w:p>
        </w:tc>
        <w:tc>
          <w:tcPr>
            <w:tcW w:w="1276" w:type="dxa"/>
          </w:tcPr>
          <w:p w:rsidR="006E768A" w:rsidRPr="006E768A" w:rsidRDefault="006E768A" w:rsidP="00C1419C">
            <w:pPr>
              <w:jc w:val="center"/>
            </w:pPr>
            <w:r w:rsidRPr="006E768A">
              <w:t>1 1</w:t>
            </w:r>
            <w:r w:rsidR="00C1419C">
              <w:t>62</w:t>
            </w:r>
            <w:r w:rsidRPr="006E768A">
              <w:t>,</w:t>
            </w:r>
            <w:r w:rsidR="00C1419C">
              <w:t>25</w:t>
            </w:r>
          </w:p>
        </w:tc>
        <w:tc>
          <w:tcPr>
            <w:tcW w:w="1560" w:type="dxa"/>
          </w:tcPr>
          <w:p w:rsidR="006E768A" w:rsidRPr="006E768A" w:rsidRDefault="00CC075E" w:rsidP="00CC075E">
            <w:pPr>
              <w:jc w:val="center"/>
            </w:pPr>
            <w:r>
              <w:t>145</w:t>
            </w:r>
            <w:r w:rsidR="006E768A" w:rsidRPr="006E768A">
              <w:t xml:space="preserve"> </w:t>
            </w:r>
            <w:r>
              <w:t>281</w:t>
            </w:r>
            <w:r w:rsidR="006E768A" w:rsidRPr="006E768A">
              <w:t>,</w:t>
            </w:r>
            <w:r>
              <w:t>25</w:t>
            </w:r>
          </w:p>
        </w:tc>
      </w:tr>
      <w:tr w:rsidR="006E768A" w:rsidRPr="006E768A" w:rsidTr="00B232E0">
        <w:tc>
          <w:tcPr>
            <w:tcW w:w="2235" w:type="dxa"/>
          </w:tcPr>
          <w:p w:rsidR="006E768A" w:rsidRPr="006E768A" w:rsidRDefault="006E768A" w:rsidP="00064B1C">
            <w:pPr>
              <w:rPr>
                <w:b/>
              </w:rPr>
            </w:pPr>
            <w:r w:rsidRPr="006E768A">
              <w:rPr>
                <w:b/>
              </w:rPr>
              <w:lastRenderedPageBreak/>
              <w:t>Противопролежневая подушка гелевая</w:t>
            </w:r>
          </w:p>
        </w:tc>
        <w:tc>
          <w:tcPr>
            <w:tcW w:w="4252" w:type="dxa"/>
          </w:tcPr>
          <w:p w:rsidR="006E768A" w:rsidRPr="006E768A" w:rsidRDefault="00971669" w:rsidP="000D3225">
            <w:pPr>
              <w:jc w:val="both"/>
            </w:pPr>
            <w:r w:rsidRPr="00971669">
              <w:t>Противопролежневая подушка гелевая должна быть предназначена для использования при заболеваниях опорно-двигательного аппарата, поражениях кожного покрова, в том числе в лечении и профилактике образования пролежневых ран, при которых инвалиды неподвижны и в большой с</w:t>
            </w:r>
            <w:r w:rsidR="000D3225">
              <w:t xml:space="preserve">тепени подвержены риску их </w:t>
            </w:r>
            <w:r w:rsidRPr="00971669">
              <w:t>возникновения.</w:t>
            </w:r>
            <w:r w:rsidR="000D3225">
              <w:t xml:space="preserve"> </w:t>
            </w:r>
            <w:r w:rsidRPr="00971669">
              <w:t>Противопролежневая подушка должна  обеспечивать комфорт и устойчивое положение для инвалидов, длительно или краткосрочно эксплуатирующих кресла-коляски, разгружает поясничный отдел позвоночника при длительном использовании кресла-коляски, или длительном сидении на одном месте. Подушка должна быть изготовлена из поролона, имеющую поверхность в форме ячеек. Внутренний гелевый слой  должен создавать профилактический противопролежневый эффект и должен иметь непромокаемое плащевое покрытие. Противопролежневая подушка гелевая должна обеспечивать прохладу и удобство посадочной поверхности, применяется при профилактике первых стадий пролежней, а также для размещения в кресле-коляске и включает водонепроницаемый съемочный чехол. Максимальная допустимая нагрузка на изделие – не менее 120 кг.  Длина: не менее 37</w:t>
            </w:r>
            <w:r>
              <w:t xml:space="preserve"> </w:t>
            </w:r>
            <w:r w:rsidRPr="00971669">
              <w:t>0мм.  Ширина: не менее 370</w:t>
            </w:r>
            <w:r>
              <w:t xml:space="preserve"> </w:t>
            </w:r>
            <w:r w:rsidRPr="00971669">
              <w:t>мм.  Высота: не менее 40 мм.</w:t>
            </w:r>
          </w:p>
        </w:tc>
        <w:tc>
          <w:tcPr>
            <w:tcW w:w="850" w:type="dxa"/>
          </w:tcPr>
          <w:p w:rsidR="006E768A" w:rsidRPr="006E768A" w:rsidRDefault="00997637" w:rsidP="00CC075E">
            <w:pPr>
              <w:jc w:val="center"/>
            </w:pPr>
            <w:r>
              <w:t>12</w:t>
            </w:r>
            <w:r w:rsidR="00CC075E">
              <w:t>5</w:t>
            </w:r>
          </w:p>
        </w:tc>
        <w:tc>
          <w:tcPr>
            <w:tcW w:w="1276" w:type="dxa"/>
          </w:tcPr>
          <w:p w:rsidR="006E768A" w:rsidRPr="006E768A" w:rsidRDefault="00C1419C" w:rsidP="00C1419C">
            <w:pPr>
              <w:jc w:val="center"/>
            </w:pPr>
            <w:r>
              <w:t>1</w:t>
            </w:r>
            <w:r w:rsidR="006E768A" w:rsidRPr="006E768A">
              <w:t xml:space="preserve"> </w:t>
            </w:r>
            <w:r>
              <w:t>500</w:t>
            </w:r>
            <w:r w:rsidR="006E768A" w:rsidRPr="006E768A">
              <w:t>,</w:t>
            </w:r>
            <w:r>
              <w:t>32</w:t>
            </w:r>
          </w:p>
        </w:tc>
        <w:tc>
          <w:tcPr>
            <w:tcW w:w="1560" w:type="dxa"/>
          </w:tcPr>
          <w:p w:rsidR="006E768A" w:rsidRPr="006E768A" w:rsidRDefault="00997637" w:rsidP="00CC075E">
            <w:pPr>
              <w:jc w:val="center"/>
            </w:pPr>
            <w:r>
              <w:t>18</w:t>
            </w:r>
            <w:r w:rsidR="00CC075E">
              <w:t>7</w:t>
            </w:r>
            <w:r>
              <w:t xml:space="preserve"> </w:t>
            </w:r>
            <w:r w:rsidR="00CC075E">
              <w:t>540</w:t>
            </w:r>
            <w:r w:rsidR="006E768A" w:rsidRPr="006E768A">
              <w:t>,</w:t>
            </w:r>
            <w:r w:rsidR="00CC075E">
              <w:t>0</w:t>
            </w:r>
            <w:r w:rsidR="006E768A" w:rsidRPr="006E768A">
              <w:t>0</w:t>
            </w:r>
          </w:p>
        </w:tc>
      </w:tr>
      <w:tr w:rsidR="006E768A" w:rsidRPr="006E768A" w:rsidTr="00B232E0">
        <w:tc>
          <w:tcPr>
            <w:tcW w:w="6487" w:type="dxa"/>
            <w:gridSpan w:val="2"/>
            <w:vAlign w:val="center"/>
          </w:tcPr>
          <w:p w:rsidR="006E768A" w:rsidRPr="006E768A" w:rsidRDefault="006E768A" w:rsidP="006E768A">
            <w:pPr>
              <w:jc w:val="both"/>
              <w:rPr>
                <w:b/>
              </w:rPr>
            </w:pPr>
            <w:r w:rsidRPr="006E768A">
              <w:rPr>
                <w:b/>
              </w:rPr>
              <w:t>ИТОГО:</w:t>
            </w:r>
          </w:p>
        </w:tc>
        <w:tc>
          <w:tcPr>
            <w:tcW w:w="850" w:type="dxa"/>
            <w:vAlign w:val="center"/>
          </w:tcPr>
          <w:p w:rsidR="006E768A" w:rsidRPr="006E768A" w:rsidRDefault="00997637" w:rsidP="00CC075E">
            <w:pPr>
              <w:jc w:val="center"/>
              <w:rPr>
                <w:b/>
              </w:rPr>
            </w:pPr>
            <w:r>
              <w:rPr>
                <w:b/>
              </w:rPr>
              <w:t>2</w:t>
            </w:r>
            <w:r w:rsidR="006E768A" w:rsidRPr="006E768A">
              <w:rPr>
                <w:b/>
              </w:rPr>
              <w:t xml:space="preserve"> </w:t>
            </w:r>
            <w:r w:rsidR="00CC075E">
              <w:rPr>
                <w:b/>
              </w:rPr>
              <w:t>000</w:t>
            </w:r>
          </w:p>
        </w:tc>
        <w:tc>
          <w:tcPr>
            <w:tcW w:w="1276" w:type="dxa"/>
            <w:vAlign w:val="center"/>
          </w:tcPr>
          <w:p w:rsidR="006E768A" w:rsidRPr="006E768A" w:rsidRDefault="006E768A" w:rsidP="006D25DB">
            <w:pPr>
              <w:jc w:val="center"/>
              <w:rPr>
                <w:b/>
              </w:rPr>
            </w:pPr>
          </w:p>
        </w:tc>
        <w:tc>
          <w:tcPr>
            <w:tcW w:w="1560" w:type="dxa"/>
            <w:vAlign w:val="center"/>
          </w:tcPr>
          <w:p w:rsidR="006E768A" w:rsidRPr="006E768A" w:rsidRDefault="00CC075E" w:rsidP="00CC075E">
            <w:pPr>
              <w:jc w:val="center"/>
              <w:rPr>
                <w:b/>
              </w:rPr>
            </w:pPr>
            <w:r>
              <w:rPr>
                <w:b/>
              </w:rPr>
              <w:t>5</w:t>
            </w:r>
            <w:r w:rsidR="006E768A" w:rsidRPr="006E768A">
              <w:rPr>
                <w:b/>
              </w:rPr>
              <w:t xml:space="preserve"> </w:t>
            </w:r>
            <w:r>
              <w:rPr>
                <w:b/>
              </w:rPr>
              <w:t>938</w:t>
            </w:r>
            <w:r w:rsidR="006E768A" w:rsidRPr="006E768A">
              <w:rPr>
                <w:b/>
              </w:rPr>
              <w:t xml:space="preserve"> </w:t>
            </w:r>
            <w:r>
              <w:rPr>
                <w:b/>
              </w:rPr>
              <w:t>464</w:t>
            </w:r>
            <w:r w:rsidR="006E768A" w:rsidRPr="006E768A">
              <w:rPr>
                <w:b/>
              </w:rPr>
              <w:t>,</w:t>
            </w:r>
            <w:r>
              <w:rPr>
                <w:b/>
              </w:rPr>
              <w:t>75</w:t>
            </w:r>
          </w:p>
        </w:tc>
      </w:tr>
    </w:tbl>
    <w:p w:rsidR="006E768A" w:rsidRPr="006E768A" w:rsidRDefault="006E768A" w:rsidP="006E768A">
      <w:pPr>
        <w:jc w:val="both"/>
      </w:pPr>
    </w:p>
    <w:p w:rsidR="006E768A" w:rsidRPr="006E768A" w:rsidRDefault="006E768A" w:rsidP="00AF1579">
      <w:pPr>
        <w:ind w:firstLine="708"/>
        <w:jc w:val="both"/>
      </w:pPr>
      <w:r w:rsidRPr="006E768A">
        <w:t>Гарантийный срок эксплуатации Товара должен составлять не менее 12 месяцев с момента получения Товара Получателем. Срок выполнения гарантийного ремонта со дня обращения Получателя не должен превышать 30 рабочих дней. Обязательно наличие гарантийных талонов, дающих право на бесплатный ремонт Товара во время гарантийного срока.</w:t>
      </w:r>
    </w:p>
    <w:p w:rsidR="006E768A" w:rsidRPr="006E768A" w:rsidRDefault="006E768A" w:rsidP="00AF1579">
      <w:pPr>
        <w:ind w:firstLine="708"/>
        <w:jc w:val="both"/>
      </w:pPr>
      <w:r w:rsidRPr="006E768A">
        <w:t xml:space="preserve">В соответствии с приказом Минтруда России от 24.05.2013 № 215н «Об утверждении сроков пользования техническими средствами реабилитации, протезами и протезно-ортопедическим </w:t>
      </w:r>
      <w:r w:rsidRPr="006E768A">
        <w:lastRenderedPageBreak/>
        <w:t xml:space="preserve">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w:t>
      </w:r>
      <w:r>
        <w:t xml:space="preserve">таких ТСР будут осуществляться </w:t>
      </w:r>
      <w:r w:rsidRPr="006E768A">
        <w:t>региональным отделением по истечении сроков службы, установленных изготовителем ТСР.</w:t>
      </w:r>
    </w:p>
    <w:p w:rsidR="006E768A" w:rsidRPr="006E768A" w:rsidRDefault="006E768A" w:rsidP="00AF1579">
      <w:pPr>
        <w:ind w:firstLine="708"/>
        <w:jc w:val="both"/>
      </w:pPr>
      <w:r w:rsidRPr="006E768A">
        <w:t>Обязательно указание адресов специализированных мастерских на территории Краснодарского края, в которые следует обращаться для гарантий</w:t>
      </w:r>
      <w:r>
        <w:t>ного ремонта товара</w:t>
      </w:r>
      <w:r w:rsidRPr="006E768A">
        <w:t xml:space="preserve"> или устранения неисправностей.</w:t>
      </w:r>
    </w:p>
    <w:p w:rsidR="006E768A" w:rsidRPr="006E768A" w:rsidRDefault="006E768A" w:rsidP="00AF1579">
      <w:pPr>
        <w:ind w:firstLine="708"/>
        <w:jc w:val="both"/>
      </w:pPr>
      <w:r w:rsidRPr="006E768A">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№2300-1 «О защите прав потребителей».</w:t>
      </w:r>
    </w:p>
    <w:p w:rsidR="006E768A" w:rsidRDefault="006E768A" w:rsidP="00C1419C">
      <w:pPr>
        <w:ind w:firstLine="709"/>
        <w:jc w:val="both"/>
      </w:pPr>
      <w:r w:rsidRPr="006E768A">
        <w:t>При поставке Товара должны быть представлены: сертификат соответствия и инструкция по применению изделия на русском языке. В техническом предложении должен быть указан товарный знак поставляемой продукции и страна происхождения Товара.</w:t>
      </w:r>
    </w:p>
    <w:p w:rsidR="006E768A" w:rsidRDefault="006E768A" w:rsidP="006E768A">
      <w:pPr>
        <w:jc w:val="both"/>
      </w:pPr>
    </w:p>
    <w:p w:rsidR="006E768A" w:rsidRPr="006E768A" w:rsidRDefault="006E768A" w:rsidP="006E768A">
      <w:pPr>
        <w:jc w:val="both"/>
      </w:pPr>
    </w:p>
    <w:p w:rsidR="006E768A" w:rsidRPr="006E768A" w:rsidRDefault="006E768A" w:rsidP="006E768A">
      <w:pPr>
        <w:jc w:val="both"/>
        <w:rPr>
          <w:b/>
        </w:rPr>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Pr="006E768A" w:rsidRDefault="006E768A" w:rsidP="006E768A">
      <w:pPr>
        <w:jc w:val="both"/>
      </w:pPr>
    </w:p>
    <w:p w:rsidR="006E768A" w:rsidRDefault="006E768A" w:rsidP="006E768A">
      <w:pPr>
        <w:jc w:val="both"/>
      </w:pPr>
    </w:p>
    <w:p w:rsidR="00D9707E" w:rsidRDefault="00D9707E" w:rsidP="006E768A">
      <w:pPr>
        <w:jc w:val="both"/>
      </w:pPr>
    </w:p>
    <w:p w:rsidR="008E506A" w:rsidRDefault="008E506A" w:rsidP="006E768A">
      <w:pPr>
        <w:jc w:val="both"/>
      </w:pPr>
    </w:p>
    <w:p w:rsidR="008E506A" w:rsidRDefault="008E506A" w:rsidP="006E768A">
      <w:pPr>
        <w:jc w:val="both"/>
      </w:pPr>
    </w:p>
    <w:p w:rsidR="006E768A" w:rsidRDefault="006E768A" w:rsidP="006E768A">
      <w:pPr>
        <w:jc w:val="both"/>
      </w:pPr>
    </w:p>
    <w:p w:rsidR="00C716D7" w:rsidRPr="006E768A" w:rsidRDefault="00C716D7" w:rsidP="006E768A">
      <w:pPr>
        <w:jc w:val="both"/>
      </w:pPr>
    </w:p>
    <w:p w:rsidR="006E768A" w:rsidRPr="006E768A" w:rsidRDefault="006E768A" w:rsidP="006E768A">
      <w:pPr>
        <w:jc w:val="both"/>
      </w:pPr>
    </w:p>
    <w:p w:rsidR="006E768A" w:rsidRPr="006E768A" w:rsidRDefault="006E768A" w:rsidP="006E768A">
      <w:pPr>
        <w:jc w:val="both"/>
      </w:pPr>
      <w:bookmarkStart w:id="0" w:name="_GoBack"/>
      <w:bookmarkEnd w:id="0"/>
    </w:p>
    <w:sectPr w:rsidR="006E768A" w:rsidRPr="006E768A" w:rsidSect="00527787">
      <w:footerReference w:type="default" r:id="rId8"/>
      <w:pgSz w:w="11906" w:h="16838" w:code="9"/>
      <w:pgMar w:top="851"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0A7" w:rsidRDefault="00DA50A7" w:rsidP="00724E45">
      <w:r>
        <w:separator/>
      </w:r>
    </w:p>
  </w:endnote>
  <w:endnote w:type="continuationSeparator" w:id="0">
    <w:p w:rsidR="00DA50A7" w:rsidRDefault="00DA50A7" w:rsidP="007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A7" w:rsidRPr="00724E45" w:rsidRDefault="00DA50A7" w:rsidP="00724E45">
    <w:pPr>
      <w:pStyle w:val="a9"/>
      <w:jc w:val="right"/>
      <w:rPr>
        <w:color w:val="BFBFBF" w:themeColor="background1" w:themeShade="BF"/>
        <w:sz w:val="18"/>
        <w:szCs w:val="18"/>
      </w:rPr>
    </w:pPr>
    <w:r w:rsidRPr="00724E45">
      <w:rPr>
        <w:color w:val="BFBFBF" w:themeColor="background1" w:themeShade="BF"/>
        <w:sz w:val="18"/>
        <w:szCs w:val="18"/>
      </w:rPr>
      <w:t>разработано на 201</w:t>
    </w:r>
    <w:r>
      <w:rPr>
        <w:color w:val="BFBFBF" w:themeColor="background1" w:themeShade="BF"/>
        <w:sz w:val="18"/>
        <w:szCs w:val="18"/>
      </w:rPr>
      <w:t>8</w:t>
    </w:r>
    <w:r w:rsidRPr="00724E45">
      <w:rPr>
        <w:color w:val="BFBFBF" w:themeColor="background1" w:themeShade="BF"/>
        <w:sz w:val="18"/>
        <w:szCs w:val="18"/>
      </w:rPr>
      <w:t xml:space="preserve"> год</w:t>
    </w:r>
  </w:p>
  <w:p w:rsidR="00DA50A7" w:rsidRPr="00724E45" w:rsidRDefault="00DA50A7" w:rsidP="00724E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0A7" w:rsidRDefault="00DA50A7" w:rsidP="00724E45">
      <w:r>
        <w:separator/>
      </w:r>
    </w:p>
  </w:footnote>
  <w:footnote w:type="continuationSeparator" w:id="0">
    <w:p w:rsidR="00DA50A7" w:rsidRDefault="00DA50A7" w:rsidP="00724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5C1203"/>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5C1E81"/>
    <w:multiLevelType w:val="hybridMultilevel"/>
    <w:tmpl w:val="A5367D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DE472E"/>
    <w:multiLevelType w:val="hybridMultilevel"/>
    <w:tmpl w:val="2F400F56"/>
    <w:lvl w:ilvl="0" w:tplc="BEE609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F928D1"/>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480149A"/>
    <w:multiLevelType w:val="hybridMultilevel"/>
    <w:tmpl w:val="AD6202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4"/>
    <w:rsid w:val="000103F9"/>
    <w:rsid w:val="00020774"/>
    <w:rsid w:val="00043F6C"/>
    <w:rsid w:val="00064B1C"/>
    <w:rsid w:val="00076D58"/>
    <w:rsid w:val="00090021"/>
    <w:rsid w:val="000B6420"/>
    <w:rsid w:val="000C394A"/>
    <w:rsid w:val="000C6420"/>
    <w:rsid w:val="000D3225"/>
    <w:rsid w:val="00122E37"/>
    <w:rsid w:val="0013001C"/>
    <w:rsid w:val="00147285"/>
    <w:rsid w:val="001500ED"/>
    <w:rsid w:val="00152D81"/>
    <w:rsid w:val="001B1E41"/>
    <w:rsid w:val="001D5095"/>
    <w:rsid w:val="001E1BBE"/>
    <w:rsid w:val="001E3E38"/>
    <w:rsid w:val="001F4563"/>
    <w:rsid w:val="00210F69"/>
    <w:rsid w:val="00246B0F"/>
    <w:rsid w:val="00283357"/>
    <w:rsid w:val="00296E32"/>
    <w:rsid w:val="002A5D97"/>
    <w:rsid w:val="002A7B0B"/>
    <w:rsid w:val="002C0934"/>
    <w:rsid w:val="003100D3"/>
    <w:rsid w:val="00320E13"/>
    <w:rsid w:val="00330CFA"/>
    <w:rsid w:val="00343125"/>
    <w:rsid w:val="003810B4"/>
    <w:rsid w:val="00397017"/>
    <w:rsid w:val="003A7C30"/>
    <w:rsid w:val="003C188C"/>
    <w:rsid w:val="003D2224"/>
    <w:rsid w:val="003D2F40"/>
    <w:rsid w:val="003E3B1F"/>
    <w:rsid w:val="003E7AE6"/>
    <w:rsid w:val="003F41C6"/>
    <w:rsid w:val="00401AB8"/>
    <w:rsid w:val="0041210D"/>
    <w:rsid w:val="00415CDA"/>
    <w:rsid w:val="00426953"/>
    <w:rsid w:val="004475FF"/>
    <w:rsid w:val="0045216A"/>
    <w:rsid w:val="00455BFB"/>
    <w:rsid w:val="0046209A"/>
    <w:rsid w:val="00477AEE"/>
    <w:rsid w:val="00483903"/>
    <w:rsid w:val="004A64BC"/>
    <w:rsid w:val="004B0552"/>
    <w:rsid w:val="004B05A4"/>
    <w:rsid w:val="004E279F"/>
    <w:rsid w:val="004E7514"/>
    <w:rsid w:val="00510ACF"/>
    <w:rsid w:val="005211C0"/>
    <w:rsid w:val="00527787"/>
    <w:rsid w:val="0054008B"/>
    <w:rsid w:val="00542222"/>
    <w:rsid w:val="00561226"/>
    <w:rsid w:val="00567BED"/>
    <w:rsid w:val="00572195"/>
    <w:rsid w:val="00573999"/>
    <w:rsid w:val="005959AC"/>
    <w:rsid w:val="005D6E0B"/>
    <w:rsid w:val="005E4108"/>
    <w:rsid w:val="005F620B"/>
    <w:rsid w:val="0060701D"/>
    <w:rsid w:val="006256CC"/>
    <w:rsid w:val="00640242"/>
    <w:rsid w:val="006462E2"/>
    <w:rsid w:val="00654E39"/>
    <w:rsid w:val="00656C83"/>
    <w:rsid w:val="00662FCE"/>
    <w:rsid w:val="00663EC7"/>
    <w:rsid w:val="006B0E5E"/>
    <w:rsid w:val="006B3940"/>
    <w:rsid w:val="006D04A4"/>
    <w:rsid w:val="006D2319"/>
    <w:rsid w:val="006D25DB"/>
    <w:rsid w:val="006E768A"/>
    <w:rsid w:val="006F1E77"/>
    <w:rsid w:val="00703EC2"/>
    <w:rsid w:val="007040F6"/>
    <w:rsid w:val="00724E45"/>
    <w:rsid w:val="00746719"/>
    <w:rsid w:val="0075498F"/>
    <w:rsid w:val="00796115"/>
    <w:rsid w:val="00796CC2"/>
    <w:rsid w:val="007A1F13"/>
    <w:rsid w:val="007A475B"/>
    <w:rsid w:val="007B00D5"/>
    <w:rsid w:val="007B4415"/>
    <w:rsid w:val="007B45FC"/>
    <w:rsid w:val="007D719F"/>
    <w:rsid w:val="007E5832"/>
    <w:rsid w:val="00817962"/>
    <w:rsid w:val="00821D10"/>
    <w:rsid w:val="00837243"/>
    <w:rsid w:val="008624E1"/>
    <w:rsid w:val="00897E35"/>
    <w:rsid w:val="008B4A51"/>
    <w:rsid w:val="008D449B"/>
    <w:rsid w:val="008E4BBF"/>
    <w:rsid w:val="008E506A"/>
    <w:rsid w:val="00902056"/>
    <w:rsid w:val="00905FDC"/>
    <w:rsid w:val="00943826"/>
    <w:rsid w:val="009458F3"/>
    <w:rsid w:val="0095275B"/>
    <w:rsid w:val="00953AC8"/>
    <w:rsid w:val="00962CC6"/>
    <w:rsid w:val="00971669"/>
    <w:rsid w:val="0099473C"/>
    <w:rsid w:val="00997637"/>
    <w:rsid w:val="00997F0B"/>
    <w:rsid w:val="009A0A74"/>
    <w:rsid w:val="009A4C39"/>
    <w:rsid w:val="009B1461"/>
    <w:rsid w:val="009D2728"/>
    <w:rsid w:val="009D3280"/>
    <w:rsid w:val="009D384F"/>
    <w:rsid w:val="009E17F2"/>
    <w:rsid w:val="009E780C"/>
    <w:rsid w:val="00A11908"/>
    <w:rsid w:val="00A11B3C"/>
    <w:rsid w:val="00A24F7F"/>
    <w:rsid w:val="00A32168"/>
    <w:rsid w:val="00A33537"/>
    <w:rsid w:val="00A73FC5"/>
    <w:rsid w:val="00A74BE0"/>
    <w:rsid w:val="00A85F37"/>
    <w:rsid w:val="00AB55F7"/>
    <w:rsid w:val="00AF1579"/>
    <w:rsid w:val="00AF57B6"/>
    <w:rsid w:val="00B02B2D"/>
    <w:rsid w:val="00B23061"/>
    <w:rsid w:val="00B232E0"/>
    <w:rsid w:val="00B35D53"/>
    <w:rsid w:val="00B70638"/>
    <w:rsid w:val="00B806F0"/>
    <w:rsid w:val="00B957BE"/>
    <w:rsid w:val="00BB3383"/>
    <w:rsid w:val="00BC3ED4"/>
    <w:rsid w:val="00C02534"/>
    <w:rsid w:val="00C1419C"/>
    <w:rsid w:val="00C14D28"/>
    <w:rsid w:val="00C4139C"/>
    <w:rsid w:val="00C53239"/>
    <w:rsid w:val="00C55A6D"/>
    <w:rsid w:val="00C64ED8"/>
    <w:rsid w:val="00C716D7"/>
    <w:rsid w:val="00C821AE"/>
    <w:rsid w:val="00C86AD1"/>
    <w:rsid w:val="00CA18FA"/>
    <w:rsid w:val="00CC075E"/>
    <w:rsid w:val="00CC0A3C"/>
    <w:rsid w:val="00CC649A"/>
    <w:rsid w:val="00CD64D9"/>
    <w:rsid w:val="00D01038"/>
    <w:rsid w:val="00D17FC6"/>
    <w:rsid w:val="00D276D9"/>
    <w:rsid w:val="00D53B94"/>
    <w:rsid w:val="00D67998"/>
    <w:rsid w:val="00D74A21"/>
    <w:rsid w:val="00D80D43"/>
    <w:rsid w:val="00D85C95"/>
    <w:rsid w:val="00D9616C"/>
    <w:rsid w:val="00D9707E"/>
    <w:rsid w:val="00DA29D6"/>
    <w:rsid w:val="00DA50A7"/>
    <w:rsid w:val="00DE279C"/>
    <w:rsid w:val="00DE2C08"/>
    <w:rsid w:val="00DE3852"/>
    <w:rsid w:val="00DF7D85"/>
    <w:rsid w:val="00E00169"/>
    <w:rsid w:val="00E06F26"/>
    <w:rsid w:val="00E458E3"/>
    <w:rsid w:val="00E47420"/>
    <w:rsid w:val="00E50905"/>
    <w:rsid w:val="00E8471E"/>
    <w:rsid w:val="00EF20A9"/>
    <w:rsid w:val="00EF6DE3"/>
    <w:rsid w:val="00F076B6"/>
    <w:rsid w:val="00F20350"/>
    <w:rsid w:val="00F20AFB"/>
    <w:rsid w:val="00F47DA0"/>
    <w:rsid w:val="00F505F1"/>
    <w:rsid w:val="00F5349F"/>
    <w:rsid w:val="00F77182"/>
    <w:rsid w:val="00F87C7C"/>
    <w:rsid w:val="00F932B2"/>
    <w:rsid w:val="00F940D4"/>
    <w:rsid w:val="00F9749D"/>
    <w:rsid w:val="00FB176B"/>
    <w:rsid w:val="00FC5486"/>
    <w:rsid w:val="00FD1CC5"/>
    <w:rsid w:val="00FE6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640B0-5A78-49A5-B228-AF0BEEFC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C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55F7"/>
    <w:pPr>
      <w:spacing w:before="280" w:after="119"/>
    </w:pPr>
  </w:style>
  <w:style w:type="character" w:customStyle="1" w:styleId="iceouttxt1">
    <w:name w:val="iceouttxt1"/>
    <w:rsid w:val="00AB55F7"/>
    <w:rPr>
      <w:rFonts w:ascii="Arial" w:hAnsi="Arial" w:cs="Arial" w:hint="default"/>
      <w:color w:val="666666"/>
      <w:sz w:val="17"/>
      <w:szCs w:val="17"/>
    </w:rPr>
  </w:style>
  <w:style w:type="paragraph" w:styleId="a4">
    <w:name w:val="Balloon Text"/>
    <w:basedOn w:val="a"/>
    <w:link w:val="a5"/>
    <w:uiPriority w:val="99"/>
    <w:semiHidden/>
    <w:unhideWhenUsed/>
    <w:rsid w:val="00567BED"/>
    <w:rPr>
      <w:rFonts w:ascii="Tahoma" w:hAnsi="Tahoma" w:cs="Tahoma"/>
      <w:sz w:val="16"/>
      <w:szCs w:val="16"/>
    </w:rPr>
  </w:style>
  <w:style w:type="character" w:customStyle="1" w:styleId="a5">
    <w:name w:val="Текст выноски Знак"/>
    <w:basedOn w:val="a0"/>
    <w:link w:val="a4"/>
    <w:uiPriority w:val="99"/>
    <w:semiHidden/>
    <w:rsid w:val="00567BED"/>
    <w:rPr>
      <w:rFonts w:ascii="Tahoma" w:eastAsia="Times New Roman" w:hAnsi="Tahoma" w:cs="Tahoma"/>
      <w:sz w:val="16"/>
      <w:szCs w:val="16"/>
      <w:lang w:eastAsia="ar-SA"/>
    </w:rPr>
  </w:style>
  <w:style w:type="table" w:styleId="a6">
    <w:name w:val="Table Grid"/>
    <w:basedOn w:val="a1"/>
    <w:uiPriority w:val="59"/>
    <w:rsid w:val="005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EF2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24E45"/>
    <w:pPr>
      <w:tabs>
        <w:tab w:val="center" w:pos="4677"/>
        <w:tab w:val="right" w:pos="9355"/>
      </w:tabs>
    </w:pPr>
  </w:style>
  <w:style w:type="character" w:customStyle="1" w:styleId="a8">
    <w:name w:val="Верхний колонтитул Знак"/>
    <w:basedOn w:val="a0"/>
    <w:link w:val="a7"/>
    <w:uiPriority w:val="99"/>
    <w:rsid w:val="00724E45"/>
    <w:rPr>
      <w:rFonts w:ascii="Times New Roman" w:eastAsia="Times New Roman" w:hAnsi="Times New Roman" w:cs="Times New Roman"/>
      <w:sz w:val="24"/>
      <w:szCs w:val="24"/>
      <w:lang w:eastAsia="ar-SA"/>
    </w:rPr>
  </w:style>
  <w:style w:type="paragraph" w:styleId="a9">
    <w:name w:val="footer"/>
    <w:basedOn w:val="a"/>
    <w:link w:val="aa"/>
    <w:unhideWhenUsed/>
    <w:rsid w:val="00724E45"/>
    <w:pPr>
      <w:tabs>
        <w:tab w:val="center" w:pos="4677"/>
        <w:tab w:val="right" w:pos="9355"/>
      </w:tabs>
    </w:pPr>
  </w:style>
  <w:style w:type="character" w:customStyle="1" w:styleId="aa">
    <w:name w:val="Нижний колонтитул Знак"/>
    <w:basedOn w:val="a0"/>
    <w:link w:val="a9"/>
    <w:rsid w:val="00724E45"/>
    <w:rPr>
      <w:rFonts w:ascii="Times New Roman" w:eastAsia="Times New Roman" w:hAnsi="Times New Roman" w:cs="Times New Roman"/>
      <w:sz w:val="24"/>
      <w:szCs w:val="24"/>
      <w:lang w:eastAsia="ar-SA"/>
    </w:rPr>
  </w:style>
  <w:style w:type="character" w:styleId="ab">
    <w:name w:val="Hyperlink"/>
    <w:basedOn w:val="a0"/>
    <w:unhideWhenUsed/>
    <w:rsid w:val="00A24F7F"/>
    <w:rPr>
      <w:color w:val="0000FF" w:themeColor="hyperlink"/>
      <w:u w:val="single"/>
    </w:rPr>
  </w:style>
  <w:style w:type="table" w:customStyle="1" w:styleId="3">
    <w:name w:val="Сетка таблицы3"/>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6E7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E768A"/>
    <w:pPr>
      <w:autoSpaceDE w:val="0"/>
      <w:autoSpaceDN w:val="0"/>
      <w:adjustRightInd w:val="0"/>
      <w:spacing w:after="0" w:line="240" w:lineRule="auto"/>
    </w:pPr>
    <w:rPr>
      <w:rFonts w:ascii="Arial" w:hAnsi="Arial" w:cs="Arial"/>
      <w:sz w:val="20"/>
      <w:szCs w:val="20"/>
    </w:rPr>
  </w:style>
  <w:style w:type="table" w:customStyle="1" w:styleId="2">
    <w:name w:val="Сетка таблицы2"/>
    <w:basedOn w:val="a1"/>
    <w:next w:val="a6"/>
    <w:uiPriority w:val="59"/>
    <w:rsid w:val="006E768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6E768A"/>
    <w:pPr>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E76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HTML">
    <w:name w:val="HTML Cite"/>
    <w:basedOn w:val="a0"/>
    <w:uiPriority w:val="99"/>
    <w:semiHidden/>
    <w:unhideWhenUsed/>
    <w:rsid w:val="006E768A"/>
    <w:rPr>
      <w:i/>
      <w:iCs/>
    </w:rPr>
  </w:style>
  <w:style w:type="paragraph" w:styleId="ad">
    <w:name w:val="List Paragraph"/>
    <w:basedOn w:val="a"/>
    <w:uiPriority w:val="34"/>
    <w:qFormat/>
    <w:rsid w:val="006E7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9231">
      <w:bodyDiv w:val="1"/>
      <w:marLeft w:val="0"/>
      <w:marRight w:val="0"/>
      <w:marTop w:val="0"/>
      <w:marBottom w:val="0"/>
      <w:divBdr>
        <w:top w:val="none" w:sz="0" w:space="0" w:color="auto"/>
        <w:left w:val="none" w:sz="0" w:space="0" w:color="auto"/>
        <w:bottom w:val="none" w:sz="0" w:space="0" w:color="auto"/>
        <w:right w:val="none" w:sz="0" w:space="0" w:color="auto"/>
      </w:divBdr>
    </w:div>
    <w:div w:id="1352800890">
      <w:bodyDiv w:val="1"/>
      <w:marLeft w:val="0"/>
      <w:marRight w:val="0"/>
      <w:marTop w:val="0"/>
      <w:marBottom w:val="0"/>
      <w:divBdr>
        <w:top w:val="none" w:sz="0" w:space="0" w:color="auto"/>
        <w:left w:val="none" w:sz="0" w:space="0" w:color="auto"/>
        <w:bottom w:val="none" w:sz="0" w:space="0" w:color="auto"/>
        <w:right w:val="none" w:sz="0" w:space="0" w:color="auto"/>
      </w:divBdr>
    </w:div>
    <w:div w:id="1390497819">
      <w:bodyDiv w:val="1"/>
      <w:marLeft w:val="0"/>
      <w:marRight w:val="0"/>
      <w:marTop w:val="0"/>
      <w:marBottom w:val="0"/>
      <w:divBdr>
        <w:top w:val="none" w:sz="0" w:space="0" w:color="auto"/>
        <w:left w:val="none" w:sz="0" w:space="0" w:color="auto"/>
        <w:bottom w:val="none" w:sz="0" w:space="0" w:color="auto"/>
        <w:right w:val="none" w:sz="0" w:space="0" w:color="auto"/>
      </w:divBdr>
      <w:divsChild>
        <w:div w:id="1302880285">
          <w:marLeft w:val="0"/>
          <w:marRight w:val="0"/>
          <w:marTop w:val="0"/>
          <w:marBottom w:val="0"/>
          <w:divBdr>
            <w:top w:val="none" w:sz="0" w:space="0" w:color="auto"/>
            <w:left w:val="none" w:sz="0" w:space="0" w:color="auto"/>
            <w:bottom w:val="none" w:sz="0" w:space="0" w:color="auto"/>
            <w:right w:val="none" w:sz="0" w:space="0" w:color="auto"/>
          </w:divBdr>
        </w:div>
      </w:divsChild>
    </w:div>
    <w:div w:id="1418867293">
      <w:bodyDiv w:val="1"/>
      <w:marLeft w:val="0"/>
      <w:marRight w:val="0"/>
      <w:marTop w:val="0"/>
      <w:marBottom w:val="0"/>
      <w:divBdr>
        <w:top w:val="none" w:sz="0" w:space="0" w:color="auto"/>
        <w:left w:val="none" w:sz="0" w:space="0" w:color="auto"/>
        <w:bottom w:val="none" w:sz="0" w:space="0" w:color="auto"/>
        <w:right w:val="none" w:sz="0" w:space="0" w:color="auto"/>
      </w:divBdr>
    </w:div>
    <w:div w:id="1444114758">
      <w:bodyDiv w:val="1"/>
      <w:marLeft w:val="0"/>
      <w:marRight w:val="0"/>
      <w:marTop w:val="0"/>
      <w:marBottom w:val="0"/>
      <w:divBdr>
        <w:top w:val="none" w:sz="0" w:space="0" w:color="auto"/>
        <w:left w:val="none" w:sz="0" w:space="0" w:color="auto"/>
        <w:bottom w:val="none" w:sz="0" w:space="0" w:color="auto"/>
        <w:right w:val="none" w:sz="0" w:space="0" w:color="auto"/>
      </w:divBdr>
    </w:div>
    <w:div w:id="1745177418">
      <w:bodyDiv w:val="1"/>
      <w:marLeft w:val="0"/>
      <w:marRight w:val="0"/>
      <w:marTop w:val="0"/>
      <w:marBottom w:val="0"/>
      <w:divBdr>
        <w:top w:val="none" w:sz="0" w:space="0" w:color="auto"/>
        <w:left w:val="none" w:sz="0" w:space="0" w:color="auto"/>
        <w:bottom w:val="none" w:sz="0" w:space="0" w:color="auto"/>
        <w:right w:val="none" w:sz="0" w:space="0" w:color="auto"/>
      </w:divBdr>
      <w:divsChild>
        <w:div w:id="411316237">
          <w:marLeft w:val="0"/>
          <w:marRight w:val="0"/>
          <w:marTop w:val="0"/>
          <w:marBottom w:val="0"/>
          <w:divBdr>
            <w:top w:val="none" w:sz="0" w:space="0" w:color="auto"/>
            <w:left w:val="none" w:sz="0" w:space="0" w:color="auto"/>
            <w:bottom w:val="none" w:sz="0" w:space="0" w:color="auto"/>
            <w:right w:val="none" w:sz="0" w:space="0" w:color="auto"/>
          </w:divBdr>
        </w:div>
      </w:divsChild>
    </w:div>
    <w:div w:id="2015841598">
      <w:bodyDiv w:val="1"/>
      <w:marLeft w:val="0"/>
      <w:marRight w:val="0"/>
      <w:marTop w:val="0"/>
      <w:marBottom w:val="0"/>
      <w:divBdr>
        <w:top w:val="none" w:sz="0" w:space="0" w:color="auto"/>
        <w:left w:val="none" w:sz="0" w:space="0" w:color="auto"/>
        <w:bottom w:val="none" w:sz="0" w:space="0" w:color="auto"/>
        <w:right w:val="none" w:sz="0" w:space="0" w:color="auto"/>
      </w:divBdr>
      <w:divsChild>
        <w:div w:id="554437776">
          <w:marLeft w:val="0"/>
          <w:marRight w:val="0"/>
          <w:marTop w:val="0"/>
          <w:marBottom w:val="0"/>
          <w:divBdr>
            <w:top w:val="none" w:sz="0" w:space="0" w:color="auto"/>
            <w:left w:val="none" w:sz="0" w:space="0" w:color="auto"/>
            <w:bottom w:val="none" w:sz="0" w:space="0" w:color="auto"/>
            <w:right w:val="none" w:sz="0" w:space="0" w:color="auto"/>
          </w:divBdr>
        </w:div>
      </w:divsChild>
    </w:div>
    <w:div w:id="209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D94C-077F-4791-9975-499C52D8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Коноплёва Лидия Сергеевна</dc:creator>
  <cp:lastModifiedBy>Лихонин Павел Алексеевич</cp:lastModifiedBy>
  <cp:revision>3</cp:revision>
  <cp:lastPrinted>2018-03-13T06:58:00Z</cp:lastPrinted>
  <dcterms:created xsi:type="dcterms:W3CDTF">2018-08-20T08:36:00Z</dcterms:created>
  <dcterms:modified xsi:type="dcterms:W3CDTF">2018-08-20T08:42:00Z</dcterms:modified>
</cp:coreProperties>
</file>