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91" w:rsidRPr="005E770E" w:rsidRDefault="000A4491" w:rsidP="000A4491">
      <w:pPr>
        <w:pStyle w:val="a3"/>
        <w:spacing w:after="240"/>
        <w:ind w:left="-567" w:firstLine="567"/>
        <w:rPr>
          <w:b w:val="0"/>
          <w:bCs/>
          <w:sz w:val="24"/>
          <w:szCs w:val="24"/>
          <w:lang w:eastAsia="en-US"/>
        </w:rPr>
      </w:pPr>
      <w:bookmarkStart w:id="0" w:name="_GoBack"/>
      <w:bookmarkEnd w:id="0"/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0A4491" w:rsidRPr="00D873FE" w:rsidRDefault="000A4491" w:rsidP="000A4491">
      <w:pPr>
        <w:pStyle w:val="a7"/>
        <w:widowControl w:val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D873FE">
        <w:rPr>
          <w:rFonts w:ascii="Times New Roman" w:hAnsi="Times New Roman" w:cs="Times New Roman"/>
          <w:b/>
          <w:sz w:val="24"/>
          <w:szCs w:val="24"/>
        </w:rPr>
        <w:t>Требования к месту, условиям, объемам и срокам (периодам) поставки</w:t>
      </w:r>
    </w:p>
    <w:p w:rsidR="000A4491" w:rsidRPr="00947575" w:rsidRDefault="000A4491" w:rsidP="000A4491">
      <w:pPr>
        <w:pStyle w:val="a9"/>
        <w:widowControl/>
        <w:autoSpaceDE/>
      </w:pPr>
      <w:r w:rsidRPr="00947575">
        <w:t xml:space="preserve">Поставить одновременно все количество Товара (в соответствии с Описанием объекта закупки) на территорию Ростовской области, Республики Крым и г. Севастополя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12 (двенадцати)</w:t>
      </w:r>
      <w:r w:rsidRPr="00947575">
        <w:t xml:space="preserve"> рабочих дней с даты </w:t>
      </w:r>
      <w:r>
        <w:t>подписания</w:t>
      </w:r>
      <w:r w:rsidRPr="00947575">
        <w:t xml:space="preserve"> Государственного контракта для осуществления проверки качества Товара.</w:t>
      </w:r>
    </w:p>
    <w:p w:rsidR="000A4491" w:rsidRPr="00947575" w:rsidRDefault="000A4491" w:rsidP="000A4491">
      <w:pPr>
        <w:pStyle w:val="a9"/>
        <w:widowControl/>
        <w:autoSpaceDE/>
      </w:pPr>
      <w:r w:rsidRPr="00947575">
        <w:t xml:space="preserve">В течение двух рабочих дней,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</w:t>
      </w:r>
      <w:proofErr w:type="gramStart"/>
      <w:r w:rsidRPr="00947575">
        <w:t>привлечением  представителя</w:t>
      </w:r>
      <w:proofErr w:type="gramEnd"/>
      <w:r w:rsidRPr="00947575">
        <w:t xml:space="preserve"> региональной общественной организации инвалидов (по согласованию между Заказчиком и организацией). </w:t>
      </w:r>
    </w:p>
    <w:p w:rsidR="000A4491" w:rsidRPr="00102B5E" w:rsidRDefault="000A4491" w:rsidP="000A4491">
      <w:pPr>
        <w:pStyle w:val="a9"/>
        <w:widowControl/>
        <w:autoSpaceDE/>
        <w:rPr>
          <w:szCs w:val="23"/>
        </w:rPr>
      </w:pPr>
      <w:r w:rsidRPr="00947575">
        <w:rPr>
          <w:rFonts w:eastAsia="Times New Roman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</w:t>
      </w:r>
      <w:r w:rsidRPr="00102B5E">
        <w:rPr>
          <w:szCs w:val="23"/>
        </w:rPr>
        <w:t>.</w:t>
      </w:r>
    </w:p>
    <w:p w:rsidR="000A4491" w:rsidRPr="005D230C" w:rsidRDefault="000A4491" w:rsidP="000A4491">
      <w:pPr>
        <w:jc w:val="right"/>
        <w:rPr>
          <w:b/>
        </w:rPr>
      </w:pPr>
      <w:r w:rsidRPr="005D230C">
        <w:rPr>
          <w:b/>
        </w:rPr>
        <w:t>Таблица №1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387"/>
        <w:gridCol w:w="1417"/>
        <w:gridCol w:w="850"/>
        <w:gridCol w:w="709"/>
        <w:gridCol w:w="1276"/>
      </w:tblGrid>
      <w:tr w:rsidR="000A4491" w:rsidRPr="003C5163" w:rsidTr="00696C2B">
        <w:tc>
          <w:tcPr>
            <w:tcW w:w="1135" w:type="dxa"/>
            <w:vAlign w:val="center"/>
          </w:tcPr>
          <w:p w:rsidR="000A4491" w:rsidRPr="00124C1C" w:rsidRDefault="000A4491" w:rsidP="00696C2B">
            <w:pPr>
              <w:widowControl w:val="0"/>
              <w:jc w:val="center"/>
              <w:rPr>
                <w:sz w:val="16"/>
                <w:szCs w:val="16"/>
              </w:rPr>
            </w:pPr>
            <w:r w:rsidRPr="00124C1C">
              <w:rPr>
                <w:sz w:val="16"/>
                <w:szCs w:val="16"/>
              </w:rPr>
              <w:t>Наименование</w:t>
            </w:r>
          </w:p>
          <w:p w:rsidR="000A4491" w:rsidRPr="00124C1C" w:rsidRDefault="000A4491" w:rsidP="00696C2B">
            <w:pPr>
              <w:widowControl w:val="0"/>
              <w:jc w:val="center"/>
              <w:rPr>
                <w:sz w:val="16"/>
                <w:szCs w:val="16"/>
              </w:rPr>
            </w:pPr>
            <w:r w:rsidRPr="00124C1C">
              <w:rPr>
                <w:sz w:val="16"/>
                <w:szCs w:val="16"/>
              </w:rPr>
              <w:t>Товара</w:t>
            </w:r>
          </w:p>
        </w:tc>
        <w:tc>
          <w:tcPr>
            <w:tcW w:w="5387" w:type="dxa"/>
            <w:vAlign w:val="center"/>
          </w:tcPr>
          <w:p w:rsidR="000A4491" w:rsidRPr="00124C1C" w:rsidRDefault="000A4491" w:rsidP="00696C2B">
            <w:pPr>
              <w:widowControl w:val="0"/>
              <w:jc w:val="center"/>
              <w:rPr>
                <w:sz w:val="16"/>
                <w:szCs w:val="16"/>
              </w:rPr>
            </w:pPr>
            <w:r w:rsidRPr="00124C1C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1417" w:type="dxa"/>
            <w:vAlign w:val="center"/>
          </w:tcPr>
          <w:p w:rsidR="000A4491" w:rsidRPr="00124C1C" w:rsidRDefault="000A4491" w:rsidP="00696C2B">
            <w:pPr>
              <w:widowControl w:val="0"/>
              <w:jc w:val="center"/>
              <w:rPr>
                <w:sz w:val="16"/>
                <w:szCs w:val="16"/>
              </w:rPr>
            </w:pPr>
            <w:r w:rsidRPr="00124C1C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850" w:type="dxa"/>
            <w:vAlign w:val="center"/>
          </w:tcPr>
          <w:p w:rsidR="000A4491" w:rsidRPr="00124C1C" w:rsidRDefault="000A4491" w:rsidP="00696C2B">
            <w:pPr>
              <w:widowControl w:val="0"/>
              <w:jc w:val="center"/>
              <w:rPr>
                <w:sz w:val="16"/>
                <w:szCs w:val="16"/>
              </w:rPr>
            </w:pPr>
            <w:r w:rsidRPr="00124C1C">
              <w:rPr>
                <w:sz w:val="16"/>
                <w:szCs w:val="16"/>
              </w:rPr>
              <w:t>Кол-во (шт.)</w:t>
            </w:r>
          </w:p>
        </w:tc>
        <w:tc>
          <w:tcPr>
            <w:tcW w:w="709" w:type="dxa"/>
            <w:vAlign w:val="center"/>
          </w:tcPr>
          <w:p w:rsidR="000A4491" w:rsidRPr="00124C1C" w:rsidRDefault="000A4491" w:rsidP="00696C2B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124C1C">
              <w:rPr>
                <w:sz w:val="16"/>
                <w:szCs w:val="16"/>
              </w:rPr>
              <w:t>Цена</w:t>
            </w:r>
          </w:p>
          <w:p w:rsidR="000A4491" w:rsidRPr="00124C1C" w:rsidRDefault="000A4491" w:rsidP="00696C2B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proofErr w:type="gramStart"/>
            <w:r w:rsidRPr="00124C1C">
              <w:rPr>
                <w:sz w:val="16"/>
                <w:szCs w:val="16"/>
              </w:rPr>
              <w:t>за</w:t>
            </w:r>
            <w:proofErr w:type="gramEnd"/>
            <w:r w:rsidRPr="00124C1C">
              <w:rPr>
                <w:sz w:val="16"/>
                <w:szCs w:val="16"/>
              </w:rPr>
              <w:t xml:space="preserve"> ед.</w:t>
            </w:r>
          </w:p>
          <w:p w:rsidR="000A4491" w:rsidRPr="00124C1C" w:rsidRDefault="000A4491" w:rsidP="00696C2B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124C1C">
              <w:rPr>
                <w:sz w:val="16"/>
                <w:szCs w:val="16"/>
              </w:rPr>
              <w:t>(руб.)</w:t>
            </w:r>
          </w:p>
        </w:tc>
        <w:tc>
          <w:tcPr>
            <w:tcW w:w="1276" w:type="dxa"/>
            <w:vAlign w:val="center"/>
          </w:tcPr>
          <w:p w:rsidR="000A4491" w:rsidRPr="00124C1C" w:rsidRDefault="000A4491" w:rsidP="00696C2B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124C1C">
              <w:rPr>
                <w:sz w:val="16"/>
                <w:szCs w:val="16"/>
              </w:rPr>
              <w:t>Суммарная стоимость</w:t>
            </w:r>
          </w:p>
          <w:p w:rsidR="000A4491" w:rsidRPr="00124C1C" w:rsidRDefault="000A4491" w:rsidP="00696C2B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124C1C">
              <w:rPr>
                <w:sz w:val="16"/>
                <w:szCs w:val="16"/>
              </w:rPr>
              <w:t>(руб.)</w:t>
            </w:r>
          </w:p>
        </w:tc>
      </w:tr>
      <w:tr w:rsidR="000A4491" w:rsidRPr="003C5163" w:rsidTr="00696C2B">
        <w:trPr>
          <w:cantSplit/>
          <w:trHeight w:val="3721"/>
        </w:trPr>
        <w:tc>
          <w:tcPr>
            <w:tcW w:w="1135" w:type="dxa"/>
            <w:vMerge w:val="restart"/>
            <w:vAlign w:val="center"/>
          </w:tcPr>
          <w:p w:rsidR="000A4491" w:rsidRPr="00124C1C" w:rsidRDefault="000A4491" w:rsidP="00696C2B">
            <w:pPr>
              <w:widowControl w:val="0"/>
              <w:snapToGrid w:val="0"/>
              <w:spacing w:line="300" w:lineRule="auto"/>
              <w:ind w:left="-108" w:right="-108"/>
              <w:jc w:val="center"/>
              <w:rPr>
                <w:sz w:val="20"/>
                <w:szCs w:val="22"/>
              </w:rPr>
            </w:pPr>
            <w:r w:rsidRPr="00947575">
              <w:rPr>
                <w:b/>
                <w:sz w:val="18"/>
                <w:szCs w:val="18"/>
              </w:rPr>
              <w:t>Впитывающие простыни (пеленки) размером не менее 40 х 60 см</w:t>
            </w:r>
            <w:r w:rsidRPr="00124C1C">
              <w:rPr>
                <w:sz w:val="18"/>
                <w:szCs w:val="18"/>
              </w:rPr>
              <w:t xml:space="preserve"> (</w:t>
            </w:r>
            <w:proofErr w:type="spellStart"/>
            <w:r w:rsidRPr="00124C1C">
              <w:rPr>
                <w:sz w:val="18"/>
                <w:szCs w:val="18"/>
              </w:rPr>
              <w:t>впитываемостью</w:t>
            </w:r>
            <w:proofErr w:type="spellEnd"/>
            <w:r w:rsidRPr="00124C1C">
              <w:rPr>
                <w:sz w:val="18"/>
                <w:szCs w:val="18"/>
              </w:rPr>
              <w:t xml:space="preserve"> от 400 до 500 мл)</w:t>
            </w:r>
          </w:p>
        </w:tc>
        <w:tc>
          <w:tcPr>
            <w:tcW w:w="5387" w:type="dxa"/>
            <w:vMerge w:val="restart"/>
          </w:tcPr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BD6862">
              <w:rPr>
                <w:rFonts w:eastAsia="Microsoft YaHei"/>
                <w:sz w:val="20"/>
                <w:szCs w:val="20"/>
              </w:rPr>
              <w:t>выщипывания</w:t>
            </w:r>
            <w:proofErr w:type="spellEnd"/>
            <w:r w:rsidRPr="00BD6862">
              <w:rPr>
                <w:rFonts w:eastAsia="Microsoft YaHei"/>
                <w:sz w:val="20"/>
                <w:szCs w:val="20"/>
              </w:rPr>
              <w:t xml:space="preserve"> волокон с поверхности белья и </w:t>
            </w:r>
            <w:proofErr w:type="spellStart"/>
            <w:r w:rsidRPr="00BD6862">
              <w:rPr>
                <w:rFonts w:eastAsia="Microsoft YaHei"/>
                <w:sz w:val="20"/>
                <w:szCs w:val="20"/>
              </w:rPr>
              <w:t>отмарывания</w:t>
            </w:r>
            <w:proofErr w:type="spellEnd"/>
            <w:r w:rsidRPr="00BD6862">
              <w:rPr>
                <w:rFonts w:eastAsia="Microsoft YaHei"/>
                <w:sz w:val="20"/>
                <w:szCs w:val="20"/>
              </w:rPr>
              <w:t xml:space="preserve"> краски.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Маркировка  упаковки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впитывающих простыней (пелёнок)  должна включать: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условное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обозначение группы впитывающих простыней </w:t>
            </w:r>
            <w:r w:rsidRPr="00BD6862">
              <w:rPr>
                <w:rFonts w:eastAsia="Microsoft YaHei"/>
                <w:sz w:val="20"/>
                <w:szCs w:val="20"/>
              </w:rPr>
              <w:lastRenderedPageBreak/>
              <w:t xml:space="preserve">(пелёнок), товарную марку, обозначение размера изделия  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обозначение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</w:t>
            </w:r>
            <w:proofErr w:type="spellStart"/>
            <w:r w:rsidRPr="00BD6862">
              <w:rPr>
                <w:rFonts w:eastAsia="Microsoft YaHei"/>
                <w:sz w:val="20"/>
                <w:szCs w:val="20"/>
              </w:rPr>
              <w:t>впитываемости</w:t>
            </w:r>
            <w:proofErr w:type="spellEnd"/>
            <w:r w:rsidRPr="00BD6862">
              <w:rPr>
                <w:rFonts w:eastAsia="Microsoft YaHei"/>
                <w:sz w:val="20"/>
                <w:szCs w:val="20"/>
              </w:rPr>
              <w:t xml:space="preserve"> изделия;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страну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>-изготовителя;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наименование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предприятия-изготовителя, юридический адрес, товарный знак;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отличительные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характеристики впитывающих простыней (пелёнок)  в соответствии с их техническим исполнением;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номер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артикула (при наличии);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количество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изделий в упаковке;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дату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(месяц, год) изготовления;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срок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годности;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указания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по утилизации: «Не бросать в канализацию»;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правила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использования (при необходимости);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штриховой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код изделия (при наличии);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информацию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о сертификации.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A4491" w:rsidRPr="00BD6862" w:rsidRDefault="000A4491" w:rsidP="00696C2B">
            <w:pPr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</w:t>
            </w:r>
            <w:r w:rsidRPr="00BD6862">
              <w:rPr>
                <w:sz w:val="20"/>
                <w:szCs w:val="20"/>
              </w:rPr>
              <w:t>,</w:t>
            </w:r>
            <w:r w:rsidRPr="00BD6862">
              <w:rPr>
                <w:rFonts w:eastAsia="Microsoft YaHei"/>
                <w:sz w:val="20"/>
                <w:szCs w:val="20"/>
              </w:rPr>
      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A4491" w:rsidRPr="00BD6862" w:rsidRDefault="000A4491" w:rsidP="00696C2B">
            <w:pPr>
              <w:ind w:left="-108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BD686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Место, условия и сроки (периоды) поставки </w:t>
            </w:r>
            <w:r w:rsidRPr="00BD6862">
              <w:rPr>
                <w:rFonts w:eastAsia="Microsoft YaHei"/>
                <w:kern w:val="1"/>
                <w:sz w:val="20"/>
                <w:szCs w:val="20"/>
              </w:rPr>
              <w:t>впитывающих простыней (пелёнок)</w:t>
            </w:r>
            <w:r w:rsidRPr="00BD6862">
              <w:rPr>
                <w:rFonts w:eastAsia="Calibri"/>
                <w:kern w:val="1"/>
                <w:sz w:val="20"/>
                <w:szCs w:val="20"/>
                <w:lang w:eastAsia="en-US"/>
              </w:rPr>
              <w:t>:</w:t>
            </w:r>
          </w:p>
          <w:p w:rsidR="000A4491" w:rsidRPr="009416EF" w:rsidRDefault="000A4491" w:rsidP="00696C2B">
            <w:pPr>
              <w:ind w:left="-108"/>
              <w:jc w:val="both"/>
              <w:rPr>
                <w:rFonts w:eastAsia="Arial"/>
                <w:kern w:val="1"/>
                <w:sz w:val="20"/>
                <w:szCs w:val="20"/>
              </w:rPr>
            </w:pPr>
            <w:r w:rsidRPr="00BD6862">
              <w:rPr>
                <w:rFonts w:eastAsia="Arial"/>
                <w:kern w:val="1"/>
                <w:sz w:val="20"/>
                <w:szCs w:val="20"/>
              </w:rPr>
              <w:t xml:space="preserve">Передать изделия </w:t>
            </w:r>
            <w:r w:rsidRPr="007261CE">
              <w:rPr>
                <w:rFonts w:eastAsia="Arial"/>
                <w:kern w:val="1"/>
                <w:sz w:val="20"/>
                <w:szCs w:val="20"/>
              </w:rPr>
              <w:t xml:space="preserve">Получателям </w:t>
            </w:r>
            <w:r w:rsidRPr="007261CE">
              <w:rPr>
                <w:rFonts w:eastAsia="Arial"/>
                <w:sz w:val="20"/>
                <w:szCs w:val="20"/>
              </w:rPr>
              <w:t xml:space="preserve">по месту нахождения Получателя в течение 30 календарных дней с момента получения реестра Получателей, но не позднее </w:t>
            </w:r>
            <w:r>
              <w:rPr>
                <w:rFonts w:eastAsia="Arial"/>
                <w:sz w:val="20"/>
                <w:szCs w:val="20"/>
              </w:rPr>
              <w:t>04</w:t>
            </w:r>
            <w:r w:rsidRPr="007261CE">
              <w:rPr>
                <w:rFonts w:eastAsia="Arial"/>
                <w:sz w:val="20"/>
                <w:szCs w:val="20"/>
              </w:rPr>
              <w:t>.1</w:t>
            </w:r>
            <w:r>
              <w:rPr>
                <w:rFonts w:eastAsia="Arial"/>
                <w:sz w:val="20"/>
                <w:szCs w:val="20"/>
              </w:rPr>
              <w:t>2</w:t>
            </w:r>
            <w:r w:rsidRPr="007261CE">
              <w:rPr>
                <w:rFonts w:eastAsia="Arial"/>
                <w:sz w:val="20"/>
                <w:szCs w:val="20"/>
              </w:rPr>
              <w:t>.201</w:t>
            </w:r>
            <w:r>
              <w:rPr>
                <w:rFonts w:eastAsia="Arial"/>
                <w:sz w:val="20"/>
                <w:szCs w:val="20"/>
              </w:rPr>
              <w:t>8</w:t>
            </w:r>
            <w:r w:rsidRPr="007261CE">
              <w:rPr>
                <w:rFonts w:eastAsia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0A4491" w:rsidRPr="000216A8" w:rsidRDefault="000A4491" w:rsidP="00696C2B">
            <w:pPr>
              <w:widowControl w:val="0"/>
              <w:jc w:val="center"/>
              <w:rPr>
                <w:sz w:val="20"/>
                <w:szCs w:val="20"/>
              </w:rPr>
            </w:pPr>
            <w:r w:rsidRPr="000216A8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0A4491" w:rsidRPr="00C71E0C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11 660</w:t>
            </w:r>
          </w:p>
        </w:tc>
        <w:tc>
          <w:tcPr>
            <w:tcW w:w="709" w:type="dxa"/>
            <w:vAlign w:val="center"/>
          </w:tcPr>
          <w:p w:rsidR="000A4491" w:rsidRPr="00C71E0C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C71E0C">
              <w:rPr>
                <w:sz w:val="18"/>
                <w:szCs w:val="18"/>
              </w:rPr>
              <w:t>11,4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A4491" w:rsidRPr="00C71E0C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133 273,80</w:t>
            </w:r>
          </w:p>
        </w:tc>
      </w:tr>
      <w:tr w:rsidR="000A4491" w:rsidRPr="003C5163" w:rsidTr="00696C2B">
        <w:trPr>
          <w:cantSplit/>
          <w:trHeight w:val="5943"/>
        </w:trPr>
        <w:tc>
          <w:tcPr>
            <w:tcW w:w="1135" w:type="dxa"/>
            <w:vMerge/>
          </w:tcPr>
          <w:p w:rsidR="000A4491" w:rsidRPr="00124C1C" w:rsidRDefault="000A4491" w:rsidP="00696C2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387" w:type="dxa"/>
            <w:vMerge/>
          </w:tcPr>
          <w:p w:rsidR="000A4491" w:rsidRPr="00BD6862" w:rsidRDefault="000A4491" w:rsidP="00696C2B">
            <w:pPr>
              <w:widowControl w:val="0"/>
              <w:ind w:left="-108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4491" w:rsidRPr="000216A8" w:rsidRDefault="000A4491" w:rsidP="0069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6A8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0" w:type="dxa"/>
            <w:vAlign w:val="center"/>
          </w:tcPr>
          <w:p w:rsidR="000A4491" w:rsidRPr="00B525CC" w:rsidRDefault="000A4491" w:rsidP="00696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</w:t>
            </w:r>
          </w:p>
        </w:tc>
        <w:tc>
          <w:tcPr>
            <w:tcW w:w="709" w:type="dxa"/>
            <w:vAlign w:val="center"/>
          </w:tcPr>
          <w:p w:rsidR="000A4491" w:rsidRPr="00B525CC" w:rsidRDefault="000A4491" w:rsidP="00696C2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525CC">
              <w:rPr>
                <w:sz w:val="18"/>
                <w:szCs w:val="18"/>
              </w:rPr>
              <w:t>12,34</w:t>
            </w:r>
          </w:p>
        </w:tc>
        <w:tc>
          <w:tcPr>
            <w:tcW w:w="1276" w:type="dxa"/>
            <w:vAlign w:val="center"/>
          </w:tcPr>
          <w:p w:rsidR="000A4491" w:rsidRPr="00B525CC" w:rsidRDefault="000A4491" w:rsidP="00696C2B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35 786,00</w:t>
            </w:r>
          </w:p>
        </w:tc>
      </w:tr>
      <w:tr w:rsidR="000A4491" w:rsidRPr="003C5163" w:rsidTr="00696C2B">
        <w:trPr>
          <w:cantSplit/>
          <w:trHeight w:val="2428"/>
        </w:trPr>
        <w:tc>
          <w:tcPr>
            <w:tcW w:w="1135" w:type="dxa"/>
            <w:vMerge/>
          </w:tcPr>
          <w:p w:rsidR="000A4491" w:rsidRPr="00124C1C" w:rsidRDefault="000A4491" w:rsidP="00696C2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387" w:type="dxa"/>
            <w:vMerge/>
          </w:tcPr>
          <w:p w:rsidR="000A4491" w:rsidRPr="00BD6862" w:rsidRDefault="000A4491" w:rsidP="00696C2B">
            <w:pPr>
              <w:widowControl w:val="0"/>
              <w:ind w:left="-108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0A4491" w:rsidRPr="000216A8" w:rsidRDefault="000A4491" w:rsidP="0069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216A8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0A4491" w:rsidRPr="00167C88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709" w:type="dxa"/>
            <w:vAlign w:val="center"/>
          </w:tcPr>
          <w:p w:rsidR="000A4491" w:rsidRPr="00167C88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13,03</w:t>
            </w:r>
          </w:p>
        </w:tc>
        <w:tc>
          <w:tcPr>
            <w:tcW w:w="1276" w:type="dxa"/>
            <w:vAlign w:val="center"/>
          </w:tcPr>
          <w:p w:rsidR="000A4491" w:rsidRPr="00167C88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9 381,60</w:t>
            </w:r>
          </w:p>
        </w:tc>
      </w:tr>
      <w:tr w:rsidR="000A4491" w:rsidRPr="003C5163" w:rsidTr="00696C2B">
        <w:trPr>
          <w:cantSplit/>
          <w:trHeight w:val="2931"/>
        </w:trPr>
        <w:tc>
          <w:tcPr>
            <w:tcW w:w="1135" w:type="dxa"/>
            <w:vMerge w:val="restart"/>
            <w:vAlign w:val="center"/>
          </w:tcPr>
          <w:p w:rsidR="000A4491" w:rsidRPr="00124C1C" w:rsidRDefault="000A4491" w:rsidP="00696C2B">
            <w:pPr>
              <w:widowControl w:val="0"/>
              <w:spacing w:line="300" w:lineRule="auto"/>
              <w:ind w:left="-108" w:right="-108"/>
              <w:jc w:val="center"/>
              <w:rPr>
                <w:sz w:val="20"/>
                <w:szCs w:val="22"/>
              </w:rPr>
            </w:pPr>
            <w:r w:rsidRPr="00947575">
              <w:rPr>
                <w:b/>
                <w:sz w:val="18"/>
                <w:szCs w:val="18"/>
              </w:rPr>
              <w:t>Впитывающие простыни (пеленки) размером не менее 60 х 60 см</w:t>
            </w:r>
            <w:r w:rsidRPr="00124C1C">
              <w:rPr>
                <w:sz w:val="18"/>
                <w:szCs w:val="18"/>
              </w:rPr>
              <w:t xml:space="preserve"> (</w:t>
            </w:r>
            <w:proofErr w:type="spellStart"/>
            <w:r w:rsidRPr="00124C1C">
              <w:rPr>
                <w:sz w:val="18"/>
                <w:szCs w:val="18"/>
              </w:rPr>
              <w:t>впитываемостью</w:t>
            </w:r>
            <w:proofErr w:type="spellEnd"/>
            <w:r w:rsidRPr="00124C1C">
              <w:rPr>
                <w:sz w:val="18"/>
                <w:szCs w:val="18"/>
              </w:rPr>
              <w:t xml:space="preserve"> от 800 до 1200 мл)</w:t>
            </w:r>
          </w:p>
        </w:tc>
        <w:tc>
          <w:tcPr>
            <w:tcW w:w="5387" w:type="dxa"/>
            <w:vMerge w:val="restart"/>
          </w:tcPr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BD6862">
              <w:rPr>
                <w:rFonts w:eastAsia="Microsoft YaHei"/>
                <w:sz w:val="20"/>
                <w:szCs w:val="20"/>
              </w:rPr>
              <w:t>выщипывания</w:t>
            </w:r>
            <w:proofErr w:type="spellEnd"/>
            <w:r w:rsidRPr="00BD6862">
              <w:rPr>
                <w:rFonts w:eastAsia="Microsoft YaHei"/>
                <w:sz w:val="20"/>
                <w:szCs w:val="20"/>
              </w:rPr>
              <w:t xml:space="preserve"> волокон с поверхности белья и </w:t>
            </w:r>
            <w:proofErr w:type="spellStart"/>
            <w:r w:rsidRPr="00BD6862">
              <w:rPr>
                <w:rFonts w:eastAsia="Microsoft YaHei"/>
                <w:sz w:val="20"/>
                <w:szCs w:val="20"/>
              </w:rPr>
              <w:t>отмарывания</w:t>
            </w:r>
            <w:proofErr w:type="spellEnd"/>
            <w:r w:rsidRPr="00BD6862">
              <w:rPr>
                <w:rFonts w:eastAsia="Microsoft YaHei"/>
                <w:sz w:val="20"/>
                <w:szCs w:val="20"/>
              </w:rPr>
              <w:t xml:space="preserve"> краски.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 xml:space="preserve"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</w:t>
            </w:r>
            <w:r w:rsidRPr="00BD6862">
              <w:rPr>
                <w:rFonts w:eastAsia="Microsoft YaHei"/>
                <w:sz w:val="20"/>
                <w:szCs w:val="20"/>
              </w:rPr>
              <w:lastRenderedPageBreak/>
              <w:t>потребителей и благополучия человека.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Маркировка  упаковки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впитывающих простыней (пелёнок)  должна включать: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условное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обозначение группы впитывающих простыней (пелёнок), товарную марку, обозначение размера изделия  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обозначение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</w:t>
            </w:r>
            <w:proofErr w:type="spellStart"/>
            <w:r w:rsidRPr="00BD6862">
              <w:rPr>
                <w:rFonts w:eastAsia="Microsoft YaHei"/>
                <w:sz w:val="20"/>
                <w:szCs w:val="20"/>
              </w:rPr>
              <w:t>впитываемости</w:t>
            </w:r>
            <w:proofErr w:type="spellEnd"/>
            <w:r w:rsidRPr="00BD6862">
              <w:rPr>
                <w:rFonts w:eastAsia="Microsoft YaHei"/>
                <w:sz w:val="20"/>
                <w:szCs w:val="20"/>
              </w:rPr>
              <w:t xml:space="preserve"> изделия;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страну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>-изготовителя;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наименование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предприятия-изготовителя, юридический адрес, товарный знак;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отличительные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характеристики впитывающих простыней (пелёнок)  в соответствии с их техническим исполнением;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номер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артикула (при наличии);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количество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изделий в упаковке;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дату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(месяц, год) изготовления;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срок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годности;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указания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по утилизации: «Не бросать в канализацию»;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правила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использования (при необходимости);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штриховой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код изделия (при наличии);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информацию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о сертификации.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 xml:space="preserve">Впитывающие простыни (пелёнки) по несколько штук упаковывают в пакеты из полимерной пленки или </w:t>
            </w: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пачки ,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A4491" w:rsidRPr="00BD6862" w:rsidRDefault="000A4491" w:rsidP="00696C2B">
            <w:pPr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</w:t>
            </w:r>
            <w:r w:rsidRPr="00BD6862">
              <w:rPr>
                <w:sz w:val="20"/>
                <w:szCs w:val="20"/>
              </w:rPr>
              <w:t>,</w:t>
            </w:r>
            <w:r w:rsidRPr="00BD6862">
              <w:rPr>
                <w:rFonts w:eastAsia="Microsoft YaHei"/>
                <w:sz w:val="20"/>
                <w:szCs w:val="20"/>
              </w:rPr>
      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A4491" w:rsidRPr="00BD6862" w:rsidRDefault="000A4491" w:rsidP="00696C2B">
            <w:pPr>
              <w:ind w:left="-108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BD686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Место, условия и сроки (периоды) поставки </w:t>
            </w:r>
            <w:r w:rsidRPr="00BD6862">
              <w:rPr>
                <w:rFonts w:eastAsia="Microsoft YaHei"/>
                <w:kern w:val="1"/>
                <w:sz w:val="20"/>
                <w:szCs w:val="20"/>
              </w:rPr>
              <w:t>впитывающих простыней (пелёнок)</w:t>
            </w:r>
            <w:r w:rsidRPr="00BD6862">
              <w:rPr>
                <w:rFonts w:eastAsia="Calibri"/>
                <w:kern w:val="1"/>
                <w:sz w:val="20"/>
                <w:szCs w:val="20"/>
                <w:lang w:eastAsia="en-US"/>
              </w:rPr>
              <w:t>:</w:t>
            </w:r>
          </w:p>
          <w:p w:rsidR="000A4491" w:rsidRPr="009416EF" w:rsidRDefault="000A4491" w:rsidP="00696C2B">
            <w:pPr>
              <w:ind w:left="-108"/>
              <w:jc w:val="both"/>
              <w:rPr>
                <w:rFonts w:eastAsia="Arial"/>
                <w:kern w:val="1"/>
                <w:sz w:val="20"/>
                <w:szCs w:val="20"/>
              </w:rPr>
            </w:pPr>
            <w:r w:rsidRPr="00BD6862">
              <w:rPr>
                <w:rFonts w:eastAsia="Arial"/>
                <w:kern w:val="1"/>
                <w:sz w:val="20"/>
                <w:szCs w:val="20"/>
              </w:rPr>
              <w:t xml:space="preserve">Передать изделия </w:t>
            </w:r>
            <w:r w:rsidRPr="007261CE">
              <w:rPr>
                <w:rFonts w:eastAsia="Arial"/>
                <w:kern w:val="1"/>
                <w:sz w:val="20"/>
                <w:szCs w:val="20"/>
              </w:rPr>
              <w:t xml:space="preserve">Получателям </w:t>
            </w:r>
            <w:r w:rsidRPr="007261CE">
              <w:rPr>
                <w:rFonts w:eastAsia="Arial"/>
                <w:sz w:val="20"/>
                <w:szCs w:val="20"/>
              </w:rPr>
              <w:t xml:space="preserve">по месту нахождения Получателя в течение 30 календарных дней с момента получения реестра Получателей, </w:t>
            </w:r>
            <w:proofErr w:type="gramStart"/>
            <w:r w:rsidRPr="007261CE">
              <w:rPr>
                <w:rFonts w:eastAsia="Arial"/>
                <w:sz w:val="20"/>
                <w:szCs w:val="20"/>
              </w:rPr>
              <w:t>но  не</w:t>
            </w:r>
            <w:proofErr w:type="gramEnd"/>
            <w:r w:rsidRPr="007261CE">
              <w:rPr>
                <w:rFonts w:eastAsia="Arial"/>
                <w:sz w:val="20"/>
                <w:szCs w:val="20"/>
              </w:rPr>
              <w:t xml:space="preserve"> позднее </w:t>
            </w:r>
            <w:r>
              <w:rPr>
                <w:rFonts w:eastAsia="Arial"/>
                <w:sz w:val="20"/>
                <w:szCs w:val="20"/>
              </w:rPr>
              <w:t>04</w:t>
            </w:r>
            <w:r w:rsidRPr="007261CE">
              <w:rPr>
                <w:rFonts w:eastAsia="Arial"/>
                <w:sz w:val="20"/>
                <w:szCs w:val="20"/>
              </w:rPr>
              <w:t>.1</w:t>
            </w:r>
            <w:r>
              <w:rPr>
                <w:rFonts w:eastAsia="Arial"/>
                <w:sz w:val="20"/>
                <w:szCs w:val="20"/>
              </w:rPr>
              <w:t>2</w:t>
            </w:r>
            <w:r w:rsidRPr="007261CE">
              <w:rPr>
                <w:rFonts w:eastAsia="Arial"/>
                <w:sz w:val="20"/>
                <w:szCs w:val="20"/>
              </w:rPr>
              <w:t>.201</w:t>
            </w:r>
            <w:r>
              <w:rPr>
                <w:rFonts w:eastAsia="Arial"/>
                <w:sz w:val="20"/>
                <w:szCs w:val="20"/>
              </w:rPr>
              <w:t>8</w:t>
            </w:r>
            <w:r w:rsidRPr="007261CE">
              <w:rPr>
                <w:rFonts w:eastAsia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0A4491" w:rsidRPr="000216A8" w:rsidRDefault="000A4491" w:rsidP="00696C2B">
            <w:pPr>
              <w:widowControl w:val="0"/>
              <w:jc w:val="center"/>
              <w:rPr>
                <w:sz w:val="20"/>
                <w:szCs w:val="20"/>
              </w:rPr>
            </w:pPr>
            <w:r w:rsidRPr="000216A8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0A4491" w:rsidRPr="00C71E0C" w:rsidRDefault="000A4491" w:rsidP="00696C2B">
            <w:pPr>
              <w:widowControl w:val="0"/>
              <w:spacing w:line="300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60 390</w:t>
            </w:r>
          </w:p>
        </w:tc>
        <w:tc>
          <w:tcPr>
            <w:tcW w:w="709" w:type="dxa"/>
            <w:vAlign w:val="center"/>
          </w:tcPr>
          <w:p w:rsidR="000A4491" w:rsidRPr="00C71E0C" w:rsidRDefault="000A4491" w:rsidP="00696C2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t>13,54</w:t>
            </w:r>
          </w:p>
        </w:tc>
        <w:tc>
          <w:tcPr>
            <w:tcW w:w="1276" w:type="dxa"/>
            <w:vAlign w:val="center"/>
          </w:tcPr>
          <w:p w:rsidR="000A4491" w:rsidRPr="00C71E0C" w:rsidRDefault="000A4491" w:rsidP="00696C2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t>817 680,60</w:t>
            </w:r>
          </w:p>
        </w:tc>
      </w:tr>
      <w:tr w:rsidR="000A4491" w:rsidRPr="003C5163" w:rsidTr="00696C2B">
        <w:trPr>
          <w:cantSplit/>
          <w:trHeight w:val="7776"/>
        </w:trPr>
        <w:tc>
          <w:tcPr>
            <w:tcW w:w="1135" w:type="dxa"/>
            <w:vMerge/>
          </w:tcPr>
          <w:p w:rsidR="000A4491" w:rsidRPr="00124C1C" w:rsidRDefault="000A4491" w:rsidP="00696C2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387" w:type="dxa"/>
            <w:vMerge/>
          </w:tcPr>
          <w:p w:rsidR="000A4491" w:rsidRPr="00BD6862" w:rsidRDefault="000A4491" w:rsidP="00696C2B">
            <w:pPr>
              <w:widowControl w:val="0"/>
              <w:ind w:left="-108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4491" w:rsidRPr="000216A8" w:rsidRDefault="000A4491" w:rsidP="0069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6A8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0" w:type="dxa"/>
            <w:vAlign w:val="center"/>
          </w:tcPr>
          <w:p w:rsidR="000A4491" w:rsidRPr="00B525CC" w:rsidRDefault="000A4491" w:rsidP="00696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17 300</w:t>
            </w:r>
          </w:p>
        </w:tc>
        <w:tc>
          <w:tcPr>
            <w:tcW w:w="709" w:type="dxa"/>
            <w:vAlign w:val="center"/>
          </w:tcPr>
          <w:p w:rsidR="000A4491" w:rsidRPr="00B525CC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B63165">
              <w:rPr>
                <w:sz w:val="18"/>
                <w:szCs w:val="18"/>
              </w:rPr>
              <w:t>13,35</w:t>
            </w:r>
          </w:p>
        </w:tc>
        <w:tc>
          <w:tcPr>
            <w:tcW w:w="1276" w:type="dxa"/>
            <w:vAlign w:val="center"/>
          </w:tcPr>
          <w:p w:rsidR="000A4491" w:rsidRPr="00B525CC" w:rsidRDefault="000A4491" w:rsidP="00696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230 955,00</w:t>
            </w:r>
          </w:p>
        </w:tc>
      </w:tr>
      <w:tr w:rsidR="000A4491" w:rsidRPr="003C5163" w:rsidTr="00696C2B">
        <w:trPr>
          <w:cantSplit/>
          <w:trHeight w:val="2477"/>
        </w:trPr>
        <w:tc>
          <w:tcPr>
            <w:tcW w:w="1135" w:type="dxa"/>
            <w:vMerge/>
          </w:tcPr>
          <w:p w:rsidR="000A4491" w:rsidRPr="00124C1C" w:rsidRDefault="000A4491" w:rsidP="00696C2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387" w:type="dxa"/>
            <w:vMerge/>
          </w:tcPr>
          <w:p w:rsidR="000A4491" w:rsidRPr="00BD6862" w:rsidRDefault="000A4491" w:rsidP="00696C2B">
            <w:pPr>
              <w:widowControl w:val="0"/>
              <w:ind w:left="-108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4491" w:rsidRPr="000216A8" w:rsidRDefault="000A4491" w:rsidP="0069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216A8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0A4491" w:rsidRPr="00B63165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2 100</w:t>
            </w:r>
          </w:p>
        </w:tc>
        <w:tc>
          <w:tcPr>
            <w:tcW w:w="709" w:type="dxa"/>
            <w:vAlign w:val="center"/>
          </w:tcPr>
          <w:p w:rsidR="000A4491" w:rsidRPr="00B63165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1276" w:type="dxa"/>
            <w:vAlign w:val="center"/>
          </w:tcPr>
          <w:p w:rsidR="000A4491" w:rsidRPr="00B63165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28 938,00</w:t>
            </w:r>
          </w:p>
        </w:tc>
      </w:tr>
      <w:tr w:rsidR="000A4491" w:rsidRPr="003C5163" w:rsidTr="00696C2B">
        <w:trPr>
          <w:cantSplit/>
          <w:trHeight w:val="3993"/>
        </w:trPr>
        <w:tc>
          <w:tcPr>
            <w:tcW w:w="1135" w:type="dxa"/>
            <w:vMerge w:val="restart"/>
            <w:vAlign w:val="center"/>
          </w:tcPr>
          <w:p w:rsidR="000A4491" w:rsidRPr="00124C1C" w:rsidRDefault="000A4491" w:rsidP="00696C2B">
            <w:pPr>
              <w:widowControl w:val="0"/>
              <w:spacing w:line="300" w:lineRule="auto"/>
              <w:ind w:left="-108"/>
              <w:jc w:val="center"/>
              <w:rPr>
                <w:sz w:val="20"/>
                <w:szCs w:val="22"/>
              </w:rPr>
            </w:pPr>
            <w:r w:rsidRPr="00947575">
              <w:rPr>
                <w:b/>
                <w:sz w:val="18"/>
                <w:szCs w:val="18"/>
              </w:rPr>
              <w:lastRenderedPageBreak/>
              <w:t>Впитывающие простыни (пеленки) размером не менее 60 х 90 см</w:t>
            </w:r>
            <w:r w:rsidRPr="00124C1C">
              <w:rPr>
                <w:sz w:val="18"/>
                <w:szCs w:val="18"/>
              </w:rPr>
              <w:t xml:space="preserve"> (</w:t>
            </w:r>
            <w:proofErr w:type="spellStart"/>
            <w:r w:rsidRPr="00124C1C">
              <w:rPr>
                <w:sz w:val="18"/>
                <w:szCs w:val="18"/>
              </w:rPr>
              <w:t>впитываемостью</w:t>
            </w:r>
            <w:proofErr w:type="spellEnd"/>
            <w:r w:rsidRPr="00124C1C">
              <w:rPr>
                <w:sz w:val="18"/>
                <w:szCs w:val="18"/>
              </w:rPr>
              <w:t xml:space="preserve"> от 1200 до 1900 мл)</w:t>
            </w:r>
          </w:p>
        </w:tc>
        <w:tc>
          <w:tcPr>
            <w:tcW w:w="5387" w:type="dxa"/>
            <w:vMerge w:val="restart"/>
          </w:tcPr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BD6862">
              <w:rPr>
                <w:rFonts w:eastAsia="Microsoft YaHei"/>
                <w:sz w:val="20"/>
                <w:szCs w:val="20"/>
              </w:rPr>
              <w:t>выщипывания</w:t>
            </w:r>
            <w:proofErr w:type="spellEnd"/>
            <w:r w:rsidRPr="00BD6862">
              <w:rPr>
                <w:rFonts w:eastAsia="Microsoft YaHei"/>
                <w:sz w:val="20"/>
                <w:szCs w:val="20"/>
              </w:rPr>
              <w:t xml:space="preserve"> волокон с поверхности белья и </w:t>
            </w:r>
            <w:proofErr w:type="spellStart"/>
            <w:r w:rsidRPr="00BD6862">
              <w:rPr>
                <w:rFonts w:eastAsia="Microsoft YaHei"/>
                <w:sz w:val="20"/>
                <w:szCs w:val="20"/>
              </w:rPr>
              <w:t>отмарывания</w:t>
            </w:r>
            <w:proofErr w:type="spellEnd"/>
            <w:r w:rsidRPr="00BD6862">
              <w:rPr>
                <w:rFonts w:eastAsia="Microsoft YaHei"/>
                <w:sz w:val="20"/>
                <w:szCs w:val="20"/>
              </w:rPr>
              <w:t xml:space="preserve"> краски.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Маркировка  упаковки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впитывающих простыней (пелёнок)  должна включать: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условное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обозначение группы впитывающих простыней (пелёнок), товарную марку, обозначение размера изделия  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обозначение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</w:t>
            </w:r>
            <w:proofErr w:type="spellStart"/>
            <w:r w:rsidRPr="00BD6862">
              <w:rPr>
                <w:rFonts w:eastAsia="Microsoft YaHei"/>
                <w:sz w:val="20"/>
                <w:szCs w:val="20"/>
              </w:rPr>
              <w:t>впитываемости</w:t>
            </w:r>
            <w:proofErr w:type="spellEnd"/>
            <w:r w:rsidRPr="00BD6862">
              <w:rPr>
                <w:rFonts w:eastAsia="Microsoft YaHei"/>
                <w:sz w:val="20"/>
                <w:szCs w:val="20"/>
              </w:rPr>
              <w:t xml:space="preserve"> изделия;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страну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>-изготовителя;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наименование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предприятия-изготовителя, юридический адрес, товарный знак;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отличительные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характеристики впитывающих простыней (пелёнок)  в соответствии с их техническим исполнением;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номер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артикула (при наличии);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количество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изделий в упаковке;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дату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(месяц, год) изготовления;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срок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годности;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указания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по утилизации: «Не бросать в канализацию»;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правила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использования (при необходимости);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штриховой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код изделия (при наличии);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информацию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о сертификации.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  <w:r w:rsidRPr="00BD6862">
              <w:rPr>
                <w:sz w:val="20"/>
                <w:szCs w:val="20"/>
              </w:rPr>
              <w:t xml:space="preserve">           </w:t>
            </w:r>
            <w:r w:rsidRPr="00BD6862">
              <w:rPr>
                <w:rFonts w:eastAsia="Microsoft YaHei"/>
                <w:sz w:val="20"/>
                <w:szCs w:val="20"/>
              </w:rPr>
              <w:t>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r w:rsidRPr="00BD6862">
              <w:rPr>
                <w:rFonts w:eastAsia="Microsoft YaHei"/>
                <w:sz w:val="20"/>
                <w:szCs w:val="20"/>
              </w:rPr>
              <w:lastRenderedPageBreak/>
              <w:t>Абсорбирующее белье должно соответствовать</w:t>
            </w:r>
          </w:p>
          <w:p w:rsidR="000A4491" w:rsidRPr="00BD6862" w:rsidRDefault="000A4491" w:rsidP="00696C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Microsoft YaHei"/>
                <w:sz w:val="20"/>
                <w:szCs w:val="20"/>
              </w:rPr>
            </w:pPr>
            <w:proofErr w:type="gramStart"/>
            <w:r w:rsidRPr="00BD6862">
              <w:rPr>
                <w:rFonts w:eastAsia="Microsoft YaHei"/>
                <w:sz w:val="20"/>
                <w:szCs w:val="20"/>
              </w:rPr>
              <w:t>требованиям</w:t>
            </w:r>
            <w:proofErr w:type="gramEnd"/>
            <w:r w:rsidRPr="00BD6862">
              <w:rPr>
                <w:rFonts w:eastAsia="Microsoft YaHei"/>
                <w:sz w:val="20"/>
                <w:szCs w:val="20"/>
              </w:rPr>
              <w:t xml:space="preserve">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A4491" w:rsidRPr="00BD6862" w:rsidRDefault="000A4491" w:rsidP="00696C2B">
            <w:pPr>
              <w:ind w:left="-108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BD686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Место, условия и сроки (периоды) поставки </w:t>
            </w:r>
            <w:r w:rsidRPr="00BD6862">
              <w:rPr>
                <w:rFonts w:eastAsia="Microsoft YaHei"/>
                <w:kern w:val="1"/>
                <w:sz w:val="20"/>
                <w:szCs w:val="20"/>
              </w:rPr>
              <w:t>впитывающих простыней (пелёнок)</w:t>
            </w:r>
            <w:r w:rsidRPr="00BD6862">
              <w:rPr>
                <w:rFonts w:eastAsia="Calibri"/>
                <w:kern w:val="1"/>
                <w:sz w:val="20"/>
                <w:szCs w:val="20"/>
                <w:lang w:eastAsia="en-US"/>
              </w:rPr>
              <w:t>:</w:t>
            </w:r>
          </w:p>
          <w:p w:rsidR="000A4491" w:rsidRPr="00102B5E" w:rsidRDefault="000A4491" w:rsidP="00696C2B">
            <w:pPr>
              <w:ind w:left="-108"/>
              <w:jc w:val="both"/>
              <w:rPr>
                <w:color w:val="FF0000"/>
                <w:kern w:val="1"/>
                <w:sz w:val="20"/>
                <w:szCs w:val="20"/>
              </w:rPr>
            </w:pPr>
            <w:r w:rsidRPr="00BD6862">
              <w:rPr>
                <w:rFonts w:eastAsia="Arial"/>
                <w:kern w:val="1"/>
                <w:sz w:val="20"/>
                <w:szCs w:val="20"/>
              </w:rPr>
              <w:t xml:space="preserve">Передать изделия </w:t>
            </w:r>
            <w:r w:rsidRPr="007261CE">
              <w:rPr>
                <w:rFonts w:eastAsia="Arial"/>
                <w:kern w:val="1"/>
                <w:sz w:val="20"/>
                <w:szCs w:val="20"/>
              </w:rPr>
              <w:t xml:space="preserve">Получателям </w:t>
            </w:r>
            <w:r w:rsidRPr="007261CE">
              <w:rPr>
                <w:rFonts w:eastAsia="Arial"/>
                <w:sz w:val="20"/>
                <w:szCs w:val="20"/>
              </w:rPr>
              <w:t xml:space="preserve">по месту нахождения Получателя в течение 30 календарных дней с момента получения реестра Получателей, </w:t>
            </w:r>
            <w:proofErr w:type="gramStart"/>
            <w:r w:rsidRPr="007261CE">
              <w:rPr>
                <w:rFonts w:eastAsia="Arial"/>
                <w:sz w:val="20"/>
                <w:szCs w:val="20"/>
              </w:rPr>
              <w:t>но  не</w:t>
            </w:r>
            <w:proofErr w:type="gramEnd"/>
            <w:r w:rsidRPr="007261CE">
              <w:rPr>
                <w:rFonts w:eastAsia="Arial"/>
                <w:sz w:val="20"/>
                <w:szCs w:val="20"/>
              </w:rPr>
              <w:t xml:space="preserve"> позднее </w:t>
            </w:r>
            <w:r>
              <w:rPr>
                <w:rFonts w:eastAsia="Arial"/>
                <w:sz w:val="20"/>
                <w:szCs w:val="20"/>
              </w:rPr>
              <w:t>04</w:t>
            </w:r>
            <w:r w:rsidRPr="007261CE">
              <w:rPr>
                <w:rFonts w:eastAsia="Arial"/>
                <w:sz w:val="20"/>
                <w:szCs w:val="20"/>
              </w:rPr>
              <w:t>.1</w:t>
            </w:r>
            <w:r>
              <w:rPr>
                <w:rFonts w:eastAsia="Arial"/>
                <w:sz w:val="20"/>
                <w:szCs w:val="20"/>
              </w:rPr>
              <w:t>2</w:t>
            </w:r>
            <w:r w:rsidRPr="007261CE">
              <w:rPr>
                <w:rFonts w:eastAsia="Arial"/>
                <w:sz w:val="20"/>
                <w:szCs w:val="20"/>
              </w:rPr>
              <w:t>.201</w:t>
            </w:r>
            <w:r>
              <w:rPr>
                <w:rFonts w:eastAsia="Arial"/>
                <w:sz w:val="20"/>
                <w:szCs w:val="20"/>
              </w:rPr>
              <w:t>8</w:t>
            </w:r>
            <w:r w:rsidRPr="007261CE">
              <w:rPr>
                <w:rFonts w:eastAsia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0A4491" w:rsidRPr="000216A8" w:rsidRDefault="000A4491" w:rsidP="00696C2B">
            <w:pPr>
              <w:widowControl w:val="0"/>
              <w:jc w:val="center"/>
              <w:rPr>
                <w:sz w:val="20"/>
                <w:szCs w:val="20"/>
              </w:rPr>
            </w:pPr>
            <w:r w:rsidRPr="000216A8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0A4491" w:rsidRPr="00C71E0C" w:rsidRDefault="000A4491" w:rsidP="00696C2B">
            <w:pPr>
              <w:widowControl w:val="0"/>
              <w:spacing w:line="300" w:lineRule="auto"/>
              <w:ind w:left="-10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t>633 270</w:t>
            </w:r>
          </w:p>
        </w:tc>
        <w:tc>
          <w:tcPr>
            <w:tcW w:w="709" w:type="dxa"/>
            <w:vAlign w:val="center"/>
          </w:tcPr>
          <w:p w:rsidR="000A4491" w:rsidRPr="00C71E0C" w:rsidRDefault="000A4491" w:rsidP="00696C2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63165">
              <w:rPr>
                <w:sz w:val="18"/>
                <w:szCs w:val="18"/>
              </w:rPr>
              <w:t>15,9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A4491" w:rsidRPr="00C71E0C" w:rsidRDefault="000A4491" w:rsidP="00696C2B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</w:rPr>
              <w:t>10 087 991,10</w:t>
            </w:r>
          </w:p>
        </w:tc>
      </w:tr>
      <w:tr w:rsidR="000A4491" w:rsidRPr="003C5163" w:rsidTr="00696C2B">
        <w:trPr>
          <w:cantSplit/>
          <w:trHeight w:val="7636"/>
        </w:trPr>
        <w:tc>
          <w:tcPr>
            <w:tcW w:w="1135" w:type="dxa"/>
            <w:vMerge/>
          </w:tcPr>
          <w:p w:rsidR="000A4491" w:rsidRPr="00124C1C" w:rsidRDefault="000A4491" w:rsidP="00696C2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387" w:type="dxa"/>
            <w:vMerge/>
          </w:tcPr>
          <w:p w:rsidR="000A4491" w:rsidRPr="003C5163" w:rsidRDefault="000A4491" w:rsidP="00696C2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4491" w:rsidRPr="000216A8" w:rsidRDefault="000A4491" w:rsidP="0069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6A8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0" w:type="dxa"/>
            <w:vAlign w:val="center"/>
          </w:tcPr>
          <w:p w:rsidR="000A4491" w:rsidRPr="00B525CC" w:rsidRDefault="000A4491" w:rsidP="00696C2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81 600</w:t>
            </w:r>
          </w:p>
        </w:tc>
        <w:tc>
          <w:tcPr>
            <w:tcW w:w="709" w:type="dxa"/>
            <w:vAlign w:val="center"/>
          </w:tcPr>
          <w:p w:rsidR="000A4491" w:rsidRPr="00B525CC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B63165">
              <w:rPr>
                <w:sz w:val="18"/>
                <w:szCs w:val="18"/>
              </w:rPr>
              <w:t>16,28</w:t>
            </w:r>
          </w:p>
        </w:tc>
        <w:tc>
          <w:tcPr>
            <w:tcW w:w="1276" w:type="dxa"/>
            <w:vAlign w:val="center"/>
          </w:tcPr>
          <w:p w:rsidR="000A4491" w:rsidRPr="00B525CC" w:rsidRDefault="000A4491" w:rsidP="00696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1 328 448,00</w:t>
            </w:r>
          </w:p>
        </w:tc>
      </w:tr>
      <w:tr w:rsidR="000A4491" w:rsidRPr="003C5163" w:rsidTr="00696C2B">
        <w:trPr>
          <w:cantSplit/>
        </w:trPr>
        <w:tc>
          <w:tcPr>
            <w:tcW w:w="1135" w:type="dxa"/>
            <w:vMerge/>
          </w:tcPr>
          <w:p w:rsidR="000A4491" w:rsidRPr="00124C1C" w:rsidRDefault="000A4491" w:rsidP="00696C2B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387" w:type="dxa"/>
            <w:vMerge/>
          </w:tcPr>
          <w:p w:rsidR="000A4491" w:rsidRPr="003C5163" w:rsidRDefault="000A4491" w:rsidP="00696C2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A4491" w:rsidRPr="000216A8" w:rsidRDefault="000A4491" w:rsidP="0069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216A8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  <w:p w:rsidR="000A4491" w:rsidRPr="000216A8" w:rsidRDefault="000A4491" w:rsidP="00696C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4491" w:rsidRPr="00B63165" w:rsidRDefault="000A4491" w:rsidP="00696C2B">
            <w:pPr>
              <w:widowControl w:val="0"/>
              <w:spacing w:line="300" w:lineRule="auto"/>
              <w:ind w:left="-108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709" w:type="dxa"/>
            <w:vAlign w:val="center"/>
          </w:tcPr>
          <w:p w:rsidR="000A4491" w:rsidRPr="00B63165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 w:rsidRPr="00B63165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0A4491" w:rsidRPr="00B63165" w:rsidRDefault="000A4491" w:rsidP="00696C2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323 600,00</w:t>
            </w:r>
          </w:p>
        </w:tc>
      </w:tr>
      <w:tr w:rsidR="000A4491" w:rsidRPr="003C5163" w:rsidTr="00696C2B">
        <w:tc>
          <w:tcPr>
            <w:tcW w:w="6522" w:type="dxa"/>
            <w:gridSpan w:val="2"/>
          </w:tcPr>
          <w:p w:rsidR="000A4491" w:rsidRPr="003C5163" w:rsidRDefault="000A4491" w:rsidP="00696C2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  <w:r w:rsidRPr="00124C1C">
              <w:rPr>
                <w:b/>
                <w:bCs/>
                <w:sz w:val="20"/>
                <w:szCs w:val="20"/>
              </w:rPr>
              <w:lastRenderedPageBreak/>
              <w:t xml:space="preserve"> Итого: </w:t>
            </w:r>
          </w:p>
        </w:tc>
        <w:tc>
          <w:tcPr>
            <w:tcW w:w="1417" w:type="dxa"/>
          </w:tcPr>
          <w:p w:rsidR="000A4491" w:rsidRPr="003C5163" w:rsidRDefault="000A4491" w:rsidP="00696C2B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850" w:type="dxa"/>
          </w:tcPr>
          <w:p w:rsidR="000A4491" w:rsidRPr="00B63165" w:rsidRDefault="000A4491" w:rsidP="00696C2B">
            <w:pPr>
              <w:widowControl w:val="0"/>
              <w:ind w:left="-108" w:right="-109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829 940</w:t>
            </w:r>
          </w:p>
        </w:tc>
        <w:tc>
          <w:tcPr>
            <w:tcW w:w="709" w:type="dxa"/>
          </w:tcPr>
          <w:p w:rsidR="000A4491" w:rsidRPr="007261CE" w:rsidRDefault="000A4491" w:rsidP="00696C2B">
            <w:pPr>
              <w:widowControl w:val="0"/>
              <w:ind w:left="-107" w:right="-108"/>
              <w:jc w:val="center"/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0A4491" w:rsidRPr="00B63165" w:rsidRDefault="000A4491" w:rsidP="00696C2B">
            <w:pPr>
              <w:widowControl w:val="0"/>
              <w:ind w:left="-108" w:right="-106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12 996 054,10</w:t>
            </w:r>
          </w:p>
        </w:tc>
      </w:tr>
    </w:tbl>
    <w:p w:rsidR="000A4491" w:rsidRDefault="000A4491" w:rsidP="000A4491">
      <w:pPr>
        <w:ind w:firstLine="709"/>
        <w:jc w:val="both"/>
      </w:pPr>
    </w:p>
    <w:p w:rsidR="000A4491" w:rsidRDefault="000A4491" w:rsidP="000A4491">
      <w:pPr>
        <w:ind w:firstLine="709"/>
        <w:jc w:val="both"/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</w:p>
    <w:p w:rsidR="000A4491" w:rsidRPr="00A755F0" w:rsidRDefault="000A4491" w:rsidP="000A4491">
      <w:pPr>
        <w:ind w:firstLine="709"/>
        <w:jc w:val="both"/>
      </w:pPr>
      <w:r w:rsidRPr="00A755F0">
        <w:t xml:space="preserve">Поставка </w:t>
      </w:r>
      <w:r>
        <w:t>товара</w:t>
      </w:r>
      <w:r w:rsidRPr="00A755F0">
        <w:t xml:space="preserve"> осуществляется </w:t>
      </w:r>
      <w:r w:rsidRPr="00A755F0">
        <w:rPr>
          <w:kern w:val="2"/>
        </w:rPr>
        <w:t xml:space="preserve">непосредственно Получателю по месту жительства в течение 30 календарных дней с момента получения реестра Получателей, </w:t>
      </w:r>
      <w:proofErr w:type="gramStart"/>
      <w:r w:rsidRPr="00A755F0">
        <w:rPr>
          <w:kern w:val="2"/>
        </w:rPr>
        <w:t xml:space="preserve">но </w:t>
      </w:r>
      <w:r w:rsidRPr="00A755F0">
        <w:t xml:space="preserve"> </w:t>
      </w:r>
      <w:r w:rsidRPr="008B30CD">
        <w:rPr>
          <w:b/>
        </w:rPr>
        <w:t>не</w:t>
      </w:r>
      <w:proofErr w:type="gramEnd"/>
      <w:r w:rsidRPr="008B30CD">
        <w:rPr>
          <w:b/>
        </w:rPr>
        <w:t xml:space="preserve"> </w:t>
      </w:r>
      <w:r w:rsidRPr="008B30CD">
        <w:rPr>
          <w:b/>
          <w:sz w:val="22"/>
          <w:szCs w:val="22"/>
        </w:rPr>
        <w:t>позднее 04.12.2018 г.</w:t>
      </w:r>
      <w:r w:rsidRPr="00A755F0">
        <w:rPr>
          <w:sz w:val="22"/>
          <w:szCs w:val="22"/>
        </w:rPr>
        <w:t>:</w:t>
      </w:r>
    </w:p>
    <w:p w:rsidR="000A4491" w:rsidRPr="00102B5E" w:rsidRDefault="000A4491" w:rsidP="000A4491">
      <w:pPr>
        <w:widowControl w:val="0"/>
        <w:numPr>
          <w:ilvl w:val="0"/>
          <w:numId w:val="1"/>
        </w:numPr>
        <w:suppressAutoHyphens/>
        <w:ind w:left="0" w:firstLine="360"/>
        <w:jc w:val="both"/>
      </w:pPr>
      <w:r w:rsidRPr="007261CE">
        <w:t>Государственное учреждение – Ростовское региональное отделение Фонда</w:t>
      </w:r>
      <w:r w:rsidRPr="00102B5E">
        <w:t xml:space="preserve"> социального страхования Российской Федерации: Российская Федерация, Ростовская область, по месту жительства инвалидов: г. Ростов-на-Дону,  </w:t>
      </w:r>
      <w:proofErr w:type="spellStart"/>
      <w:r w:rsidRPr="00102B5E">
        <w:t>Мясниковский</w:t>
      </w:r>
      <w:proofErr w:type="spellEnd"/>
      <w:r w:rsidRPr="00102B5E">
        <w:t xml:space="preserve">,  </w:t>
      </w:r>
      <w:proofErr w:type="spellStart"/>
      <w:r w:rsidRPr="00102B5E">
        <w:t>Родионово</w:t>
      </w:r>
      <w:proofErr w:type="spellEnd"/>
      <w:r w:rsidRPr="00102B5E">
        <w:t xml:space="preserve"> - </w:t>
      </w:r>
      <w:proofErr w:type="spellStart"/>
      <w:r w:rsidRPr="00102B5E">
        <w:t>Несветайский</w:t>
      </w:r>
      <w:proofErr w:type="spellEnd"/>
      <w:r w:rsidRPr="00102B5E">
        <w:t xml:space="preserve"> районы, г. Аксай, </w:t>
      </w:r>
      <w:proofErr w:type="spellStart"/>
      <w:r w:rsidRPr="00102B5E">
        <w:t>Аксайский</w:t>
      </w:r>
      <w:proofErr w:type="spellEnd"/>
      <w:r w:rsidRPr="00102B5E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102B5E">
        <w:t>Мартыновский</w:t>
      </w:r>
      <w:proofErr w:type="spellEnd"/>
      <w:r w:rsidRPr="00102B5E">
        <w:t xml:space="preserve"> районы, г. Миллерово, Миллеровский, </w:t>
      </w:r>
      <w:proofErr w:type="spellStart"/>
      <w:r w:rsidRPr="00102B5E">
        <w:t>Кашарский</w:t>
      </w:r>
      <w:proofErr w:type="spellEnd"/>
      <w:r w:rsidRPr="00102B5E">
        <w:t xml:space="preserve">, </w:t>
      </w:r>
      <w:proofErr w:type="spellStart"/>
      <w:r w:rsidRPr="00102B5E">
        <w:t>Чертковский</w:t>
      </w:r>
      <w:proofErr w:type="spellEnd"/>
      <w:r w:rsidRPr="00102B5E">
        <w:t xml:space="preserve">, В-Донской, Шолоховский, </w:t>
      </w:r>
      <w:proofErr w:type="spellStart"/>
      <w:r w:rsidRPr="00102B5E">
        <w:t>Боковский</w:t>
      </w:r>
      <w:proofErr w:type="spellEnd"/>
      <w:r w:rsidRPr="00102B5E">
        <w:t xml:space="preserve"> районы, г. Зерноград, Зерноградский, </w:t>
      </w:r>
      <w:proofErr w:type="spellStart"/>
      <w:r w:rsidRPr="00102B5E">
        <w:t>Егорлыкский</w:t>
      </w:r>
      <w:proofErr w:type="spellEnd"/>
      <w:r w:rsidRPr="00102B5E">
        <w:t xml:space="preserve"> районы, Батайск, </w:t>
      </w:r>
      <w:proofErr w:type="spellStart"/>
      <w:r w:rsidRPr="00102B5E">
        <w:t>Кагальницкий</w:t>
      </w:r>
      <w:proofErr w:type="spellEnd"/>
      <w:r w:rsidRPr="00102B5E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102B5E">
        <w:t>Неклиновский</w:t>
      </w:r>
      <w:proofErr w:type="spellEnd"/>
      <w:r w:rsidRPr="00102B5E">
        <w:t xml:space="preserve">, Куйбышевский районы, г. Белая Калитва, </w:t>
      </w:r>
      <w:proofErr w:type="spellStart"/>
      <w:r w:rsidRPr="00102B5E">
        <w:t>Белокалитвенский</w:t>
      </w:r>
      <w:proofErr w:type="spellEnd"/>
      <w:r w:rsidRPr="00102B5E">
        <w:t xml:space="preserve">, Тацинский районы, г. Красный Сулин, </w:t>
      </w:r>
      <w:proofErr w:type="spellStart"/>
      <w:r w:rsidRPr="00102B5E">
        <w:t>Красносулинский</w:t>
      </w:r>
      <w:proofErr w:type="spellEnd"/>
      <w:r w:rsidRPr="00102B5E">
        <w:t xml:space="preserve">, Октябрьский районы, г. Волгодонск,  </w:t>
      </w:r>
      <w:proofErr w:type="spellStart"/>
      <w:r w:rsidRPr="00102B5E">
        <w:t>Волгодонской</w:t>
      </w:r>
      <w:proofErr w:type="spellEnd"/>
      <w:r w:rsidRPr="00102B5E">
        <w:t xml:space="preserve">, </w:t>
      </w:r>
      <w:proofErr w:type="spellStart"/>
      <w:r w:rsidRPr="00102B5E">
        <w:t>Цимлянский</w:t>
      </w:r>
      <w:proofErr w:type="spellEnd"/>
      <w:r w:rsidRPr="00102B5E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102B5E">
        <w:t>Сальский</w:t>
      </w:r>
      <w:proofErr w:type="spellEnd"/>
      <w:r w:rsidRPr="00102B5E">
        <w:t xml:space="preserve">, </w:t>
      </w:r>
      <w:proofErr w:type="spellStart"/>
      <w:r w:rsidRPr="00102B5E">
        <w:t>Песчанокопский</w:t>
      </w:r>
      <w:proofErr w:type="spellEnd"/>
      <w:r w:rsidRPr="00102B5E">
        <w:t xml:space="preserve">, </w:t>
      </w:r>
      <w:proofErr w:type="spellStart"/>
      <w:r w:rsidRPr="00102B5E">
        <w:t>Целинский</w:t>
      </w:r>
      <w:proofErr w:type="spellEnd"/>
      <w:r w:rsidRPr="00102B5E">
        <w:t xml:space="preserve"> районы, п. Зимовники, </w:t>
      </w:r>
      <w:proofErr w:type="spellStart"/>
      <w:r w:rsidRPr="00102B5E">
        <w:t>Зимовниковский</w:t>
      </w:r>
      <w:proofErr w:type="spellEnd"/>
      <w:r w:rsidRPr="00102B5E">
        <w:t xml:space="preserve">, </w:t>
      </w:r>
      <w:proofErr w:type="spellStart"/>
      <w:r w:rsidRPr="00102B5E">
        <w:t>Заветинский</w:t>
      </w:r>
      <w:proofErr w:type="spellEnd"/>
      <w:r w:rsidRPr="00102B5E">
        <w:t xml:space="preserve">, </w:t>
      </w:r>
      <w:proofErr w:type="spellStart"/>
      <w:r w:rsidRPr="00102B5E">
        <w:t>Дубовский</w:t>
      </w:r>
      <w:proofErr w:type="spellEnd"/>
      <w:r w:rsidRPr="00102B5E">
        <w:t xml:space="preserve">, </w:t>
      </w:r>
      <w:proofErr w:type="spellStart"/>
      <w:r w:rsidRPr="00102B5E">
        <w:t>Ремонтненский</w:t>
      </w:r>
      <w:proofErr w:type="spellEnd"/>
      <w:r w:rsidRPr="00102B5E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102B5E">
        <w:t>Милютинский</w:t>
      </w:r>
      <w:proofErr w:type="spellEnd"/>
      <w:r w:rsidRPr="00102B5E">
        <w:t xml:space="preserve">, </w:t>
      </w:r>
      <w:proofErr w:type="spellStart"/>
      <w:r w:rsidRPr="00102B5E">
        <w:t>Обливский</w:t>
      </w:r>
      <w:proofErr w:type="spellEnd"/>
      <w:r w:rsidRPr="00102B5E">
        <w:t xml:space="preserve"> районы по месту жительства получателей согласно предоставленным Заказчиком реестров.</w:t>
      </w:r>
    </w:p>
    <w:p w:rsidR="000A4491" w:rsidRPr="00102B5E" w:rsidRDefault="000A4491" w:rsidP="000A4491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360"/>
        <w:jc w:val="both"/>
      </w:pPr>
      <w:r w:rsidRPr="00102B5E">
        <w:t xml:space="preserve">Государственное учреждение – региональное отделение Фонда социального страхования Российской Федерации по Республике Крым: Российская Федерация, Республика Крым, по месту жительства инвалидов: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102B5E">
        <w:t>Нижегорский</w:t>
      </w:r>
      <w:proofErr w:type="spellEnd"/>
      <w:r w:rsidRPr="00102B5E">
        <w:t xml:space="preserve"> район, Кировский район, Советский район, Черноморский район, Ленинский район, </w:t>
      </w:r>
      <w:proofErr w:type="spellStart"/>
      <w:r w:rsidRPr="00102B5E">
        <w:t>Раздольненский</w:t>
      </w:r>
      <w:proofErr w:type="spellEnd"/>
      <w:r w:rsidRPr="00102B5E">
        <w:t xml:space="preserve"> район, Первомайский район, Симферопольский район, </w:t>
      </w:r>
      <w:proofErr w:type="spellStart"/>
      <w:r w:rsidRPr="00102B5E">
        <w:t>Сакский</w:t>
      </w:r>
      <w:proofErr w:type="spellEnd"/>
      <w:r w:rsidRPr="00102B5E">
        <w:t xml:space="preserve"> район, </w:t>
      </w:r>
      <w:proofErr w:type="spellStart"/>
      <w:r w:rsidRPr="00102B5E">
        <w:t>Джанкойский</w:t>
      </w:r>
      <w:proofErr w:type="spellEnd"/>
      <w:r w:rsidRPr="00102B5E">
        <w:t xml:space="preserve"> район, Бахчисарайский район, по месту жительства получателей согласно предоставленным Заказчиком реестров.</w:t>
      </w:r>
    </w:p>
    <w:p w:rsidR="000A4491" w:rsidRPr="0068623F" w:rsidRDefault="000A4491" w:rsidP="000A4491">
      <w:pPr>
        <w:pStyle w:val="a5"/>
        <w:numPr>
          <w:ilvl w:val="0"/>
          <w:numId w:val="1"/>
        </w:numPr>
        <w:suppressAutoHyphens/>
        <w:ind w:left="0" w:firstLine="426"/>
        <w:rPr>
          <w:rFonts w:eastAsia="Times New Roman"/>
          <w:sz w:val="24"/>
          <w:szCs w:val="24"/>
          <w:lang w:eastAsia="ru-RU"/>
        </w:rPr>
      </w:pPr>
      <w:r w:rsidRPr="0068623F">
        <w:rPr>
          <w:rFonts w:eastAsia="Times New Roman"/>
          <w:sz w:val="24"/>
          <w:szCs w:val="24"/>
          <w:lang w:eastAsia="ru-RU"/>
        </w:rPr>
        <w:t>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 получателей согласно предоставленным Заказчиком реестров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A4491" w:rsidRDefault="000A4491" w:rsidP="000A4491">
      <w:pPr>
        <w:rPr>
          <w:b/>
        </w:rPr>
      </w:pPr>
      <w:r>
        <w:br w:type="page"/>
      </w:r>
    </w:p>
    <w:p w:rsidR="003468F0" w:rsidRDefault="003468F0"/>
    <w:sectPr w:rsidR="003468F0" w:rsidSect="000A44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454"/>
    <w:multiLevelType w:val="hybridMultilevel"/>
    <w:tmpl w:val="CC2C49CE"/>
    <w:lvl w:ilvl="0" w:tplc="8BE2F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1"/>
    <w:rsid w:val="000A4491"/>
    <w:rsid w:val="003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F2F6-4329-4D7E-83DA-30A424A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491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0A449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0A4491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locked/>
    <w:rsid w:val="000A4491"/>
    <w:rPr>
      <w:rFonts w:ascii="Times New Roman" w:eastAsia="Calibri" w:hAnsi="Times New Roman" w:cs="Times New Roman"/>
      <w:sz w:val="28"/>
    </w:rPr>
  </w:style>
  <w:style w:type="paragraph" w:customStyle="1" w:styleId="a7">
    <w:name w:val="Заголовок"/>
    <w:basedOn w:val="a"/>
    <w:next w:val="a8"/>
    <w:rsid w:val="000A449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9">
    <w:name w:val="Обычный.Нормальный абзац"/>
    <w:rsid w:val="000A449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0A449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0A4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zam_dir_2</dc:creator>
  <cp:keywords/>
  <dc:description/>
  <cp:lastModifiedBy>zam_dir_2</cp:lastModifiedBy>
  <cp:revision>1</cp:revision>
  <dcterms:created xsi:type="dcterms:W3CDTF">2018-08-16T08:21:00Z</dcterms:created>
  <dcterms:modified xsi:type="dcterms:W3CDTF">2018-08-16T08:22:00Z</dcterms:modified>
</cp:coreProperties>
</file>