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BF" w:rsidRPr="005E770E" w:rsidRDefault="007902BF" w:rsidP="007902BF">
      <w:pPr>
        <w:pStyle w:val="a4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7902BF" w:rsidRPr="00B83279" w:rsidRDefault="007902BF" w:rsidP="007902BF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kern w:val="1"/>
          <w:lang w:eastAsia="ar-SA"/>
        </w:rPr>
      </w:pPr>
      <w:r w:rsidRPr="00B83279">
        <w:rPr>
          <w:b/>
          <w:bCs/>
          <w:kern w:val="1"/>
          <w:lang w:eastAsia="ar-SA"/>
        </w:rPr>
        <w:t>Требования к месту, условиям, объемам и срокам (периодам) поставки</w:t>
      </w:r>
    </w:p>
    <w:p w:rsidR="007902BF" w:rsidRPr="00B83279" w:rsidRDefault="007902BF" w:rsidP="007902BF">
      <w:pPr>
        <w:suppressAutoHyphens/>
        <w:ind w:firstLine="709"/>
        <w:jc w:val="both"/>
        <w:rPr>
          <w:lang w:eastAsia="ar-SA"/>
        </w:rPr>
      </w:pPr>
      <w:r w:rsidRPr="00B83279">
        <w:rPr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>
        <w:rPr>
          <w:lang w:eastAsia="ar-SA"/>
        </w:rPr>
        <w:t>, Республики Крым и г. Севастополь</w:t>
      </w:r>
      <w:r w:rsidRPr="00B83279">
        <w:rPr>
          <w:szCs w:val="23"/>
          <w:lang w:eastAsia="ar-SA"/>
        </w:rPr>
        <w:t xml:space="preserve"> в соответствии с Таблицей №1</w:t>
      </w:r>
      <w:r w:rsidRPr="00B83279">
        <w:rPr>
          <w:lang w:eastAsia="ar-SA"/>
        </w:rPr>
        <w:t xml:space="preserve"> на склад Поставщика </w:t>
      </w:r>
      <w:r w:rsidRPr="00B83279">
        <w:rPr>
          <w:sz w:val="23"/>
          <w:szCs w:val="23"/>
          <w:lang w:eastAsia="ar-SA"/>
        </w:rPr>
        <w:t>или иное помещение, находящееся в его распоряжении или собственности</w:t>
      </w:r>
      <w:r w:rsidRPr="00B83279">
        <w:rPr>
          <w:lang w:eastAsia="ar-SA"/>
        </w:rPr>
        <w:t>, в течение 10 рабочих дней с даты подписания Государственного контракта для осуществления проверки качества товара.</w:t>
      </w:r>
    </w:p>
    <w:p w:rsidR="007902BF" w:rsidRPr="00B83279" w:rsidRDefault="007902BF" w:rsidP="007902BF">
      <w:pPr>
        <w:keepLines/>
        <w:widowControl w:val="0"/>
        <w:suppressAutoHyphens/>
        <w:ind w:firstLine="708"/>
        <w:jc w:val="both"/>
        <w:rPr>
          <w:lang w:eastAsia="ar-SA"/>
        </w:rPr>
      </w:pPr>
      <w:r w:rsidRPr="00B83279">
        <w:rPr>
          <w:lang w:eastAsia="ar-SA"/>
        </w:rPr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7902BF" w:rsidRPr="00B83279" w:rsidRDefault="007902BF" w:rsidP="007902BF">
      <w:pPr>
        <w:suppressAutoHyphens/>
        <w:ind w:firstLine="709"/>
        <w:jc w:val="both"/>
        <w:rPr>
          <w:rFonts w:eastAsia="Arial"/>
          <w:szCs w:val="23"/>
          <w:lang w:eastAsia="ar-SA"/>
        </w:rPr>
      </w:pPr>
      <w:r w:rsidRPr="00B83279">
        <w:rPr>
          <w:rFonts w:eastAsia="Arial"/>
          <w:szCs w:val="23"/>
          <w:lang w:eastAsia="ar-SA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7902BF" w:rsidRPr="00B83279" w:rsidRDefault="007902BF" w:rsidP="007902BF">
      <w:pPr>
        <w:jc w:val="right"/>
        <w:rPr>
          <w:b/>
          <w:lang w:eastAsia="ar-SA"/>
        </w:rPr>
      </w:pPr>
      <w:r w:rsidRPr="00B83279">
        <w:rPr>
          <w:b/>
          <w:lang w:eastAsia="ar-SA"/>
        </w:rPr>
        <w:t>Таблица №1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567"/>
        <w:gridCol w:w="992"/>
        <w:gridCol w:w="709"/>
        <w:gridCol w:w="1417"/>
      </w:tblGrid>
      <w:tr w:rsidR="007902BF" w:rsidRPr="00B83279" w:rsidTr="001B4090">
        <w:tc>
          <w:tcPr>
            <w:tcW w:w="4786" w:type="dxa"/>
            <w:gridSpan w:val="2"/>
            <w:vAlign w:val="center"/>
          </w:tcPr>
          <w:p w:rsidR="007902BF" w:rsidRPr="00B83279" w:rsidRDefault="007902BF" w:rsidP="001B4090">
            <w:pPr>
              <w:jc w:val="center"/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Наименование, ассортимент и характеристики Товара</w:t>
            </w:r>
          </w:p>
        </w:tc>
        <w:tc>
          <w:tcPr>
            <w:tcW w:w="1843" w:type="dxa"/>
            <w:vMerge w:val="restart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Наименование Заказчика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Цена за ед. (руб.)</w:t>
            </w:r>
          </w:p>
        </w:tc>
        <w:tc>
          <w:tcPr>
            <w:tcW w:w="709" w:type="dxa"/>
            <w:vMerge w:val="restart"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Кол-во (шт.)</w:t>
            </w:r>
          </w:p>
        </w:tc>
        <w:tc>
          <w:tcPr>
            <w:tcW w:w="1417" w:type="dxa"/>
            <w:vMerge w:val="restart"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t>Сумма (руб.)</w:t>
            </w:r>
          </w:p>
        </w:tc>
      </w:tr>
      <w:tr w:rsidR="007902BF" w:rsidRPr="00B83279" w:rsidTr="001B4090">
        <w:tc>
          <w:tcPr>
            <w:tcW w:w="1951" w:type="dxa"/>
            <w:vAlign w:val="center"/>
          </w:tcPr>
          <w:p w:rsidR="007902BF" w:rsidRPr="00B83279" w:rsidRDefault="007902BF" w:rsidP="001B4090">
            <w:pPr>
              <w:jc w:val="center"/>
              <w:rPr>
                <w:b/>
                <w:lang w:eastAsia="ar-SA"/>
              </w:rPr>
            </w:pPr>
            <w:proofErr w:type="gramStart"/>
            <w:r w:rsidRPr="00B83279">
              <w:rPr>
                <w:bCs/>
                <w:lang w:eastAsia="ar-SA"/>
              </w:rPr>
              <w:t>наименование</w:t>
            </w:r>
            <w:proofErr w:type="gramEnd"/>
            <w:r w:rsidRPr="00B83279">
              <w:rPr>
                <w:bCs/>
                <w:lang w:eastAsia="ar-SA"/>
              </w:rPr>
              <w:t xml:space="preserve"> товара (модель, шифр)</w:t>
            </w:r>
          </w:p>
        </w:tc>
        <w:tc>
          <w:tcPr>
            <w:tcW w:w="2835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b/>
                <w:lang w:eastAsia="ar-SA"/>
              </w:rPr>
            </w:pPr>
            <w:proofErr w:type="gramStart"/>
            <w:r w:rsidRPr="00B83279">
              <w:rPr>
                <w:bCs/>
                <w:lang w:eastAsia="ar-SA"/>
              </w:rPr>
              <w:t>характеристики</w:t>
            </w:r>
            <w:proofErr w:type="gramEnd"/>
            <w:r w:rsidRPr="00B83279">
              <w:rPr>
                <w:bCs/>
                <w:lang w:eastAsia="ar-SA"/>
              </w:rPr>
              <w:t xml:space="preserve"> товара</w:t>
            </w:r>
          </w:p>
        </w:tc>
        <w:tc>
          <w:tcPr>
            <w:tcW w:w="1843" w:type="dxa"/>
            <w:vMerge/>
            <w:vAlign w:val="center"/>
          </w:tcPr>
          <w:p w:rsidR="007902BF" w:rsidRPr="00B83279" w:rsidRDefault="007902BF" w:rsidP="001B409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7902BF" w:rsidRPr="00B83279" w:rsidTr="001B4090">
        <w:trPr>
          <w:trHeight w:val="1407"/>
        </w:trPr>
        <w:tc>
          <w:tcPr>
            <w:tcW w:w="1951" w:type="dxa"/>
            <w:vMerge w:val="restart"/>
          </w:tcPr>
          <w:p w:rsidR="007902BF" w:rsidRPr="00B83279" w:rsidRDefault="007902BF" w:rsidP="001B409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t>Противопролежневый</w:t>
            </w:r>
            <w:proofErr w:type="spellEnd"/>
          </w:p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B83279">
              <w:rPr>
                <w:lang w:eastAsia="ar-SA"/>
              </w:rPr>
              <w:t>матрац</w:t>
            </w:r>
            <w:proofErr w:type="gramEnd"/>
            <w:r w:rsidRPr="00B83279">
              <w:rPr>
                <w:lang w:eastAsia="ar-SA"/>
              </w:rPr>
              <w:t xml:space="preserve"> полиуретановый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Модель_________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Страна производитель</w:t>
            </w:r>
          </w:p>
          <w:p w:rsidR="007902BF" w:rsidRPr="00B83279" w:rsidRDefault="007902BF" w:rsidP="001B4090">
            <w:pPr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________</w:t>
            </w:r>
          </w:p>
        </w:tc>
        <w:tc>
          <w:tcPr>
            <w:tcW w:w="2835" w:type="dxa"/>
            <w:vMerge w:val="restart"/>
          </w:tcPr>
          <w:p w:rsidR="007902BF" w:rsidRPr="00B83279" w:rsidRDefault="007902BF" w:rsidP="001B4090">
            <w:pPr>
              <w:suppressAutoHyphens/>
              <w:ind w:firstLine="34"/>
              <w:rPr>
                <w:lang w:eastAsia="ar-SA"/>
              </w:rPr>
            </w:pPr>
            <w:proofErr w:type="spellStart"/>
            <w:r w:rsidRPr="00B83279">
              <w:t>Противопролежневый</w:t>
            </w:r>
            <w:proofErr w:type="spellEnd"/>
            <w:r w:rsidRPr="00B83279">
              <w:t xml:space="preserve"> матрац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</w:t>
            </w:r>
            <w:proofErr w:type="spellStart"/>
            <w:r w:rsidRPr="00B83279">
              <w:t>пенополиуретан</w:t>
            </w:r>
            <w:proofErr w:type="spellEnd"/>
            <w:r w:rsidRPr="00B83279">
              <w:t>.  Максимальная допустимая нагрузка на изделие должна быть – не менее 120 кг. Длина: не менее 1800 мм. Ширина: не менее 840 мм. Высота: не менее 40 мм.</w:t>
            </w:r>
          </w:p>
          <w:p w:rsidR="007902BF" w:rsidRPr="00B83279" w:rsidRDefault="007902BF" w:rsidP="001B4090">
            <w:pPr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t>Должно быть Соответствие ГОСТ ISO 10993-1-</w:t>
            </w:r>
            <w:proofErr w:type="gramStart"/>
            <w:r w:rsidRPr="00B83279">
              <w:rPr>
                <w:lang w:eastAsia="ar-SA"/>
              </w:rPr>
              <w:t>2011  "</w:t>
            </w:r>
            <w:proofErr w:type="gramEnd"/>
            <w:r w:rsidRPr="00B83279">
              <w:rPr>
                <w:lang w:eastAsia="ar-SA"/>
              </w:rPr>
              <w:t xml:space="preserve">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83279">
              <w:rPr>
                <w:lang w:eastAsia="ar-SA"/>
              </w:rPr>
              <w:t>цитотоксичность</w:t>
            </w:r>
            <w:proofErr w:type="spellEnd"/>
            <w:r w:rsidRPr="00B83279">
              <w:rPr>
                <w:lang w:eastAsia="ar-SA"/>
              </w:rPr>
              <w:t xml:space="preserve">: методы </w:t>
            </w:r>
            <w:proofErr w:type="spellStart"/>
            <w:r w:rsidRPr="00B83279">
              <w:rPr>
                <w:lang w:eastAsia="ar-SA"/>
              </w:rPr>
              <w:t>in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spellStart"/>
            <w:r w:rsidRPr="00B83279">
              <w:rPr>
                <w:lang w:eastAsia="ar-SA"/>
              </w:rPr>
              <w:t>vitro</w:t>
            </w:r>
            <w:proofErr w:type="spellEnd"/>
            <w:r w:rsidRPr="00B83279">
              <w:rPr>
                <w:lang w:eastAsia="ar-SA"/>
              </w:rPr>
              <w:t xml:space="preserve">", ГОСТ ISO 10993-10-2011." Изделия медицинские. Оценка биологического </w:t>
            </w:r>
            <w:r w:rsidRPr="00B83279">
              <w:rPr>
                <w:lang w:eastAsia="ar-SA"/>
              </w:rPr>
              <w:lastRenderedPageBreak/>
              <w:t>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</w:t>
            </w:r>
            <w:proofErr w:type="gramStart"/>
            <w:r w:rsidRPr="00B83279">
              <w:rPr>
                <w:lang w:eastAsia="ar-SA"/>
              </w:rPr>
              <w:t>химических  и</w:t>
            </w:r>
            <w:proofErr w:type="gramEnd"/>
            <w:r w:rsidRPr="00B83279">
              <w:rPr>
                <w:lang w:eastAsia="ar-SA"/>
              </w:rPr>
      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  <w:r w:rsidRPr="00B83279"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kern w:val="2"/>
                <w:lang w:eastAsia="ar-SA"/>
              </w:rPr>
            </w:pPr>
            <w:r w:rsidRPr="00B83279">
              <w:rPr>
                <w:kern w:val="2"/>
                <w:lang w:eastAsia="ar-SA"/>
              </w:rPr>
              <w:t>6 422,79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125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3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802 848,75</w:t>
            </w:r>
          </w:p>
        </w:tc>
      </w:tr>
      <w:tr w:rsidR="007902BF" w:rsidRPr="00B83279" w:rsidTr="001B4090">
        <w:trPr>
          <w:trHeight w:val="1893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suppressAutoHyphens/>
              <w:ind w:firstLine="34"/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lang w:eastAsia="ar-SA"/>
              </w:rPr>
            </w:pPr>
            <w:r w:rsidRPr="00910C14">
              <w:rPr>
                <w:lang w:eastAsia="ar-SA"/>
              </w:rPr>
              <w:t>Государственное учреждение – Севастопольское региональное отделение Фонда      социального               страхования Российской Федерации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hanging="108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6 642,13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66 421,30</w:t>
            </w:r>
          </w:p>
        </w:tc>
      </w:tr>
      <w:tr w:rsidR="007902BF" w:rsidRPr="00B83279" w:rsidTr="001B4090">
        <w:trPr>
          <w:trHeight w:val="1893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suppressAutoHyphens/>
              <w:ind w:firstLine="34"/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lang w:eastAsia="ar-SA"/>
              </w:rPr>
            </w:pPr>
            <w:r w:rsidRPr="003325F9">
              <w:rPr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7902BF" w:rsidRPr="00B83279" w:rsidTr="001B4090">
        <w:trPr>
          <w:trHeight w:val="1427"/>
        </w:trPr>
        <w:tc>
          <w:tcPr>
            <w:tcW w:w="1951" w:type="dxa"/>
            <w:vMerge w:val="restart"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B83279">
              <w:rPr>
                <w:bCs/>
                <w:kern w:val="2"/>
                <w:lang w:eastAsia="ar-SA"/>
              </w:rPr>
              <w:lastRenderedPageBreak/>
              <w:t>Противопролежневый</w:t>
            </w:r>
            <w:proofErr w:type="spellEnd"/>
            <w:r w:rsidRPr="00B83279">
              <w:rPr>
                <w:bCs/>
                <w:kern w:val="2"/>
                <w:lang w:eastAsia="ar-SA"/>
              </w:rPr>
              <w:t xml:space="preserve"> матрац </w:t>
            </w:r>
            <w:proofErr w:type="spellStart"/>
            <w:r w:rsidRPr="00B83279">
              <w:rPr>
                <w:bCs/>
                <w:kern w:val="2"/>
                <w:lang w:eastAsia="ar-SA"/>
              </w:rPr>
              <w:t>гелевый</w:t>
            </w:r>
            <w:proofErr w:type="spellEnd"/>
            <w:r w:rsidRPr="00B83279">
              <w:rPr>
                <w:lang w:eastAsia="ar-SA"/>
              </w:rPr>
              <w:t xml:space="preserve"> 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Модель_________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Страна производитель________</w:t>
            </w:r>
          </w:p>
        </w:tc>
        <w:tc>
          <w:tcPr>
            <w:tcW w:w="2835" w:type="dxa"/>
            <w:vMerge w:val="restart"/>
          </w:tcPr>
          <w:p w:rsidR="007902BF" w:rsidRPr="00B83279" w:rsidRDefault="007902BF" w:rsidP="001B4090">
            <w:pPr>
              <w:widowControl w:val="0"/>
              <w:suppressAutoHyphens/>
              <w:snapToGrid w:val="0"/>
              <w:ind w:firstLine="34"/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t>Противопролежневый</w:t>
            </w:r>
            <w:proofErr w:type="spellEnd"/>
            <w:r w:rsidRPr="00B83279">
              <w:rPr>
                <w:lang w:eastAsia="ar-SA"/>
              </w:rPr>
              <w:t xml:space="preserve">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</w:t>
            </w:r>
            <w:proofErr w:type="spellStart"/>
            <w:r w:rsidRPr="00B83279">
              <w:rPr>
                <w:lang w:eastAsia="ar-SA"/>
              </w:rPr>
              <w:t>противопролежневого</w:t>
            </w:r>
            <w:proofErr w:type="spellEnd"/>
            <w:r w:rsidRPr="00B83279">
              <w:rPr>
                <w:lang w:eastAsia="ar-SA"/>
              </w:rPr>
              <w:t xml:space="preserve">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перераспределения давления. Максимальная допустимая нагрузка на изделие должно быть – не менее 120 кг. Длина: не менее 1800 мм. Ширина: не менее 840 мм. Высота: не менее 40 мм.</w:t>
            </w:r>
          </w:p>
          <w:p w:rsidR="007902BF" w:rsidRPr="00B83279" w:rsidRDefault="007902BF" w:rsidP="001B4090">
            <w:pPr>
              <w:widowControl w:val="0"/>
              <w:suppressAutoHyphens/>
              <w:snapToGrid w:val="0"/>
              <w:ind w:firstLine="34"/>
              <w:rPr>
                <w:kern w:val="1"/>
                <w:lang w:eastAsia="ar-SA"/>
              </w:rPr>
            </w:pPr>
            <w:r w:rsidRPr="00B83279">
              <w:rPr>
                <w:kern w:val="1"/>
                <w:lang w:eastAsia="ar-SA"/>
              </w:rPr>
              <w:t>Должно быть Соответствие ГОСТ ISO 10993-1-</w:t>
            </w:r>
            <w:proofErr w:type="gramStart"/>
            <w:r w:rsidRPr="00B83279">
              <w:rPr>
                <w:kern w:val="1"/>
                <w:lang w:eastAsia="ar-SA"/>
              </w:rPr>
              <w:t>2011  "</w:t>
            </w:r>
            <w:proofErr w:type="gramEnd"/>
            <w:r w:rsidRPr="00B83279">
              <w:rPr>
                <w:kern w:val="1"/>
                <w:lang w:eastAsia="ar-SA"/>
              </w:rPr>
              <w:t xml:space="preserve">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83279">
              <w:rPr>
                <w:kern w:val="1"/>
                <w:lang w:eastAsia="ar-SA"/>
              </w:rPr>
              <w:t>цитотоксичность</w:t>
            </w:r>
            <w:proofErr w:type="spellEnd"/>
            <w:r w:rsidRPr="00B83279">
              <w:rPr>
                <w:kern w:val="1"/>
                <w:lang w:eastAsia="ar-SA"/>
              </w:rPr>
              <w:t xml:space="preserve">: методы </w:t>
            </w:r>
            <w:proofErr w:type="spellStart"/>
            <w:r w:rsidRPr="00B83279">
              <w:rPr>
                <w:kern w:val="1"/>
                <w:lang w:eastAsia="ar-SA"/>
              </w:rPr>
              <w:t>in</w:t>
            </w:r>
            <w:proofErr w:type="spellEnd"/>
            <w:r w:rsidRPr="00B83279">
              <w:rPr>
                <w:kern w:val="1"/>
                <w:lang w:eastAsia="ar-SA"/>
              </w:rPr>
              <w:t xml:space="preserve"> </w:t>
            </w:r>
            <w:proofErr w:type="spellStart"/>
            <w:r w:rsidRPr="00B83279">
              <w:rPr>
                <w:kern w:val="1"/>
                <w:lang w:eastAsia="ar-SA"/>
              </w:rPr>
              <w:t>vitro</w:t>
            </w:r>
            <w:proofErr w:type="spellEnd"/>
            <w:r w:rsidRPr="00B83279">
              <w:rPr>
                <w:kern w:val="1"/>
                <w:lang w:eastAsia="ar-SA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B83279">
              <w:rPr>
                <w:kern w:val="1"/>
                <w:lang w:eastAsia="ar-SA"/>
              </w:rPr>
              <w:lastRenderedPageBreak/>
              <w:t>действия", ГОСТ Р 52770-2016 "Изделия медицинские. Требования безопасности. Методы санитарно-</w:t>
            </w:r>
            <w:proofErr w:type="gramStart"/>
            <w:r w:rsidRPr="00B83279">
              <w:rPr>
                <w:kern w:val="1"/>
                <w:lang w:eastAsia="ar-SA"/>
              </w:rPr>
              <w:t>химических  и</w:t>
            </w:r>
            <w:proofErr w:type="gramEnd"/>
            <w:r w:rsidRPr="00B83279">
              <w:rPr>
                <w:kern w:val="1"/>
                <w:lang w:eastAsia="ar-SA"/>
              </w:rPr>
      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suppressAutoHyphens/>
              <w:snapToGrid w:val="0"/>
              <w:ind w:left="-108" w:right="-108"/>
              <w:jc w:val="center"/>
              <w:rPr>
                <w:b/>
              </w:rPr>
            </w:pPr>
            <w:r w:rsidRPr="00B83279"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right="-108"/>
              <w:jc w:val="center"/>
              <w:rPr>
                <w:kern w:val="2"/>
                <w:lang w:eastAsia="ar-SA"/>
              </w:rPr>
            </w:pPr>
            <w:r w:rsidRPr="00B83279">
              <w:rPr>
                <w:kern w:val="2"/>
                <w:lang w:eastAsia="ar-SA"/>
              </w:rPr>
              <w:t>14 152,80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24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3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339 667,20</w:t>
            </w:r>
          </w:p>
        </w:tc>
      </w:tr>
      <w:tr w:rsidR="007902BF" w:rsidRPr="00B83279" w:rsidTr="001B4090">
        <w:trPr>
          <w:trHeight w:val="1427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widowControl w:val="0"/>
              <w:suppressAutoHyphens/>
              <w:snapToGrid w:val="0"/>
              <w:ind w:firstLine="34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ind w:hanging="43"/>
              <w:jc w:val="center"/>
              <w:rPr>
                <w:lang w:eastAsia="ar-SA"/>
              </w:rPr>
            </w:pPr>
            <w:r w:rsidRPr="00910C14">
              <w:rPr>
                <w:lang w:eastAsia="ar-SA"/>
              </w:rPr>
              <w:t>Государственное учреждение – Севастопольское региональное отделение Фонда      социального               страхования Российской Федерации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right="-108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15 259,43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45 778,29</w:t>
            </w:r>
          </w:p>
        </w:tc>
      </w:tr>
      <w:tr w:rsidR="007902BF" w:rsidRPr="00B83279" w:rsidTr="001B4090">
        <w:trPr>
          <w:trHeight w:val="1427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widowControl w:val="0"/>
              <w:suppressAutoHyphens/>
              <w:snapToGrid w:val="0"/>
              <w:ind w:firstLine="34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lang w:eastAsia="ar-SA"/>
              </w:rPr>
            </w:pPr>
            <w:r w:rsidRPr="003325F9">
              <w:rPr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right="-108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15 347,35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1 074 314,50</w:t>
            </w:r>
          </w:p>
        </w:tc>
      </w:tr>
      <w:tr w:rsidR="007902BF" w:rsidRPr="00B83279" w:rsidTr="001B4090">
        <w:trPr>
          <w:trHeight w:val="2825"/>
        </w:trPr>
        <w:tc>
          <w:tcPr>
            <w:tcW w:w="1951" w:type="dxa"/>
            <w:vMerge w:val="restart"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proofErr w:type="spellStart"/>
            <w:r w:rsidRPr="00B83279">
              <w:rPr>
                <w:bCs/>
                <w:kern w:val="2"/>
                <w:lang w:eastAsia="ar-SA"/>
              </w:rPr>
              <w:lastRenderedPageBreak/>
              <w:t>Противопролежневый</w:t>
            </w:r>
            <w:proofErr w:type="spellEnd"/>
            <w:r w:rsidRPr="00B83279">
              <w:rPr>
                <w:bCs/>
                <w:kern w:val="2"/>
                <w:lang w:eastAsia="ar-SA"/>
              </w:rPr>
              <w:t xml:space="preserve"> матрац воздушный (с компрессором) 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Модель_________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Страна производитель</w:t>
            </w:r>
          </w:p>
          <w:p w:rsidR="007902BF" w:rsidRPr="00B83279" w:rsidRDefault="007902BF" w:rsidP="001B4090">
            <w:pPr>
              <w:jc w:val="right"/>
              <w:rPr>
                <w:b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7902BF" w:rsidRPr="00B83279" w:rsidRDefault="007902BF" w:rsidP="001B4090">
            <w:pPr>
              <w:widowControl w:val="0"/>
              <w:suppressAutoHyphens/>
              <w:snapToGrid w:val="0"/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t>Противопролежневый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gramStart"/>
            <w:r w:rsidRPr="00B83279">
              <w:rPr>
                <w:lang w:eastAsia="ar-SA"/>
              </w:rPr>
              <w:t>матрац  должен</w:t>
            </w:r>
            <w:proofErr w:type="gramEnd"/>
            <w:r w:rsidRPr="00B83279">
              <w:rPr>
                <w:lang w:eastAsia="ar-SA"/>
              </w:rPr>
              <w:t xml:space="preserve"> быть предназначен для профилактики и лечения пролежней средней и высокой степени риска у инвалидов с повреждениями и 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</w:t>
            </w:r>
            <w:proofErr w:type="spellStart"/>
            <w:r w:rsidRPr="00B83279">
              <w:rPr>
                <w:lang w:eastAsia="ar-SA"/>
              </w:rPr>
              <w:t>Противопролежневый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gramStart"/>
            <w:r w:rsidRPr="00B83279">
              <w:rPr>
                <w:lang w:eastAsia="ar-SA"/>
              </w:rPr>
              <w:t>матрац  должен</w:t>
            </w:r>
            <w:proofErr w:type="gramEnd"/>
            <w:r w:rsidRPr="00B83279">
              <w:rPr>
                <w:lang w:eastAsia="ar-SA"/>
              </w:rPr>
              <w:t xml:space="preserve"> обеспечивать инвалиду опору при низком контактном давлении с помощью отдельных групп надувных камер (баллонов), плавно </w:t>
            </w:r>
            <w:proofErr w:type="spellStart"/>
            <w:r w:rsidRPr="00B83279">
              <w:rPr>
                <w:lang w:eastAsia="ar-SA"/>
              </w:rPr>
              <w:t>сдувающихся</w:t>
            </w:r>
            <w:proofErr w:type="spellEnd"/>
            <w:r w:rsidRPr="00B83279">
              <w:rPr>
                <w:lang w:eastAsia="ar-SA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Должно быть наличие в </w:t>
            </w:r>
            <w:proofErr w:type="spellStart"/>
            <w:r w:rsidRPr="00B83279">
              <w:rPr>
                <w:lang w:eastAsia="ar-SA"/>
              </w:rPr>
              <w:t>противопролежневом</w:t>
            </w:r>
            <w:proofErr w:type="spellEnd"/>
            <w:r w:rsidRPr="00B83279">
              <w:rPr>
                <w:lang w:eastAsia="ar-SA"/>
              </w:rPr>
              <w:t xml:space="preserve">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</w:t>
            </w:r>
            <w:proofErr w:type="gramStart"/>
            <w:r w:rsidRPr="00B83279">
              <w:rPr>
                <w:lang w:eastAsia="ar-SA"/>
              </w:rPr>
              <w:t>быть  –</w:t>
            </w:r>
            <w:proofErr w:type="gramEnd"/>
            <w:r w:rsidRPr="00B83279">
              <w:rPr>
                <w:lang w:eastAsia="ar-SA"/>
              </w:rPr>
              <w:t xml:space="preserve"> воздух. </w:t>
            </w:r>
            <w:proofErr w:type="spellStart"/>
            <w:r w:rsidRPr="00B83279">
              <w:rPr>
                <w:lang w:eastAsia="ar-SA"/>
              </w:rPr>
              <w:t>Противопролежневый</w:t>
            </w:r>
            <w:proofErr w:type="spellEnd"/>
            <w:r w:rsidRPr="00B83279">
              <w:rPr>
                <w:lang w:eastAsia="ar-SA"/>
              </w:rPr>
              <w:t xml:space="preserve"> матрац должен быть укомплектован малошумным, непрерывно </w:t>
            </w:r>
            <w:r w:rsidRPr="00B83279">
              <w:rPr>
                <w:lang w:eastAsia="ar-SA"/>
              </w:rPr>
              <w:lastRenderedPageBreak/>
              <w:t xml:space="preserve">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должно быть- не менее 120 кг. Ячеистый матрац (камеры разделены на ячейки) должны иметь не менее 130 воздушных ячеек с вентиляционными (лазерными) отверстиями. Габаритные размеры </w:t>
            </w:r>
            <w:proofErr w:type="spellStart"/>
            <w:r w:rsidRPr="00B83279">
              <w:rPr>
                <w:lang w:eastAsia="ar-SA"/>
              </w:rPr>
              <w:t>противопролежневых</w:t>
            </w:r>
            <w:proofErr w:type="spellEnd"/>
            <w:r w:rsidRPr="00B83279">
              <w:rPr>
                <w:lang w:eastAsia="ar-SA"/>
              </w:rPr>
              <w:t xml:space="preserve"> матрацев в рабочем состоянии должны </w:t>
            </w:r>
            <w:proofErr w:type="gramStart"/>
            <w:r w:rsidRPr="00B83279">
              <w:rPr>
                <w:lang w:eastAsia="ar-SA"/>
              </w:rPr>
              <w:t>быть:  Длина</w:t>
            </w:r>
            <w:proofErr w:type="gramEnd"/>
            <w:r w:rsidRPr="00B83279">
              <w:rPr>
                <w:lang w:eastAsia="ar-SA"/>
              </w:rPr>
              <w:t xml:space="preserve">: не менее 1800мм.  Ширина: не менее 840 мм.  </w:t>
            </w:r>
            <w:proofErr w:type="gramStart"/>
            <w:r w:rsidRPr="00B83279">
              <w:rPr>
                <w:lang w:eastAsia="ar-SA"/>
              </w:rPr>
              <w:t>Толщина :не</w:t>
            </w:r>
            <w:proofErr w:type="gramEnd"/>
            <w:r w:rsidRPr="00B83279">
              <w:rPr>
                <w:lang w:eastAsia="ar-SA"/>
              </w:rPr>
              <w:t xml:space="preserve"> менее 60 мм.</w:t>
            </w:r>
          </w:p>
          <w:p w:rsidR="007902BF" w:rsidRPr="00B83279" w:rsidRDefault="007902BF" w:rsidP="001B4090">
            <w:pPr>
              <w:rPr>
                <w:b/>
                <w:lang w:eastAsia="ar-SA"/>
              </w:rPr>
            </w:pPr>
            <w:r w:rsidRPr="00B83279">
              <w:rPr>
                <w:kern w:val="1"/>
                <w:lang w:eastAsia="ar-SA"/>
              </w:rPr>
              <w:t>Должно быть Соответствие ГОСТ Р 50444-92 (разд.3,4) "Приборы, аппараты и оборудование медицинские. Общие технические условия", ГОСТ Р 50267.0-92" Изделия медицинские электрические. Часть 1. Общие требования безопасности</w:t>
            </w:r>
            <w:r w:rsidRPr="00B83279">
              <w:rPr>
                <w:color w:val="FF0000"/>
                <w:kern w:val="1"/>
                <w:lang w:eastAsia="ar-SA"/>
              </w:rPr>
              <w:t>.</w:t>
            </w: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suppressAutoHyphens/>
              <w:snapToGrid w:val="0"/>
              <w:jc w:val="center"/>
              <w:rPr>
                <w:b/>
              </w:rPr>
            </w:pPr>
            <w:r w:rsidRPr="00B83279"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 w:rsidRPr="00B83279">
              <w:rPr>
                <w:kern w:val="2"/>
                <w:lang w:eastAsia="ar-SA"/>
              </w:rPr>
              <w:t>2 204,97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275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606 366,75</w:t>
            </w:r>
          </w:p>
        </w:tc>
      </w:tr>
      <w:tr w:rsidR="007902BF" w:rsidRPr="00B83279" w:rsidTr="001B4090">
        <w:trPr>
          <w:trHeight w:val="2825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ind w:firstLine="9"/>
              <w:jc w:val="center"/>
              <w:rPr>
                <w:lang w:eastAsia="ar-SA"/>
              </w:rPr>
            </w:pPr>
            <w:r w:rsidRPr="00910C14">
              <w:rPr>
                <w:lang w:eastAsia="ar-SA"/>
              </w:rPr>
              <w:t>Государственное учреждение – Севастопольское региональное отделение Фонда      социального               страхования Российской Федерации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2 094,78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62 843,40</w:t>
            </w:r>
          </w:p>
        </w:tc>
      </w:tr>
      <w:tr w:rsidR="007902BF" w:rsidRPr="00B83279" w:rsidTr="001B4090">
        <w:trPr>
          <w:trHeight w:val="2825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ind w:firstLine="24"/>
              <w:jc w:val="center"/>
              <w:rPr>
                <w:lang w:eastAsia="ar-SA"/>
              </w:rPr>
            </w:pPr>
            <w:r w:rsidRPr="003325F9">
              <w:rPr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2 271,76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22 717,60</w:t>
            </w:r>
          </w:p>
        </w:tc>
      </w:tr>
      <w:tr w:rsidR="007902BF" w:rsidRPr="00B83279" w:rsidTr="001B4090">
        <w:trPr>
          <w:trHeight w:val="3877"/>
        </w:trPr>
        <w:tc>
          <w:tcPr>
            <w:tcW w:w="1951" w:type="dxa"/>
            <w:vMerge w:val="restart"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lastRenderedPageBreak/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полиуретановая.</w:t>
            </w:r>
            <w:r w:rsidRPr="00B83279">
              <w:rPr>
                <w:bCs/>
                <w:lang w:eastAsia="ar-SA"/>
              </w:rPr>
              <w:t xml:space="preserve"> 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Модель_________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Страна производитель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________</w:t>
            </w:r>
          </w:p>
          <w:p w:rsidR="007902BF" w:rsidRPr="00B83279" w:rsidRDefault="007902BF" w:rsidP="001B4090">
            <w:pPr>
              <w:jc w:val="right"/>
              <w:rPr>
                <w:b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7902BF" w:rsidRPr="00B83279" w:rsidRDefault="007902BF" w:rsidP="001B4090">
            <w:pPr>
              <w:tabs>
                <w:tab w:val="left" w:pos="0"/>
              </w:tabs>
              <w:suppressAutoHyphens/>
              <w:snapToGrid w:val="0"/>
              <w:ind w:firstLine="34"/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B83279">
              <w:rPr>
                <w:lang w:eastAsia="ar-SA"/>
              </w:rPr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должна обеспечивать </w:t>
            </w:r>
            <w:r w:rsidRPr="00B83279">
              <w:rPr>
                <w:lang w:eastAsia="ar-SA"/>
              </w:rPr>
              <w:lastRenderedPageBreak/>
              <w:t xml:space="preserve">комфорт и устойчивое положение для инвалидов, длительно эксплуатирующих кресла-коляски, разгружает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B83279">
              <w:rPr>
                <w:lang w:eastAsia="ar-SA"/>
              </w:rPr>
              <w:t>противопролежневой</w:t>
            </w:r>
            <w:proofErr w:type="spellEnd"/>
            <w:r w:rsidRPr="00B83279">
              <w:rPr>
                <w:lang w:eastAsia="ar-SA"/>
              </w:rPr>
              <w:t xml:space="preserve"> подушки должен быть –</w:t>
            </w:r>
            <w:proofErr w:type="spellStart"/>
            <w:r w:rsidRPr="00B83279">
              <w:rPr>
                <w:lang w:eastAsia="ar-SA"/>
              </w:rPr>
              <w:t>вязкоэластичный</w:t>
            </w:r>
            <w:proofErr w:type="spellEnd"/>
            <w:r w:rsidRPr="00B83279">
              <w:rPr>
                <w:lang w:eastAsia="ar-SA"/>
              </w:rPr>
              <w:t xml:space="preserve"> упругий </w:t>
            </w:r>
            <w:proofErr w:type="spellStart"/>
            <w:r w:rsidRPr="00B83279">
              <w:rPr>
                <w:lang w:eastAsia="ar-SA"/>
              </w:rPr>
              <w:t>пенополиуретан</w:t>
            </w:r>
            <w:proofErr w:type="spellEnd"/>
            <w:r w:rsidRPr="00B83279">
              <w:rPr>
                <w:lang w:eastAsia="ar-SA"/>
              </w:rPr>
              <w:t xml:space="preserve">.  </w:t>
            </w:r>
            <w:proofErr w:type="spellStart"/>
            <w:r w:rsidRPr="00B83279">
              <w:rPr>
                <w:lang w:eastAsia="ar-SA"/>
              </w:rPr>
              <w:t>Вязкоэластичный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spellStart"/>
            <w:r w:rsidRPr="00B83279">
              <w:rPr>
                <w:lang w:eastAsia="ar-SA"/>
              </w:rPr>
              <w:t>пенополиуретан</w:t>
            </w:r>
            <w:proofErr w:type="spellEnd"/>
            <w:r w:rsidRPr="00B83279">
              <w:rPr>
                <w:lang w:eastAsia="ar-SA"/>
              </w:rPr>
              <w:t xml:space="preserve"> за счет эффекта «памяти» должен принимать форму тела сидящего человека и увеличивает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-профильное основание со стабильной основой и два углубления для задней поверхности бедра. Такая </w:t>
            </w:r>
            <w:proofErr w:type="gramStart"/>
            <w:r w:rsidRPr="00B83279">
              <w:rPr>
                <w:lang w:eastAsia="ar-SA"/>
              </w:rPr>
              <w:t>конструкция  должна</w:t>
            </w:r>
            <w:proofErr w:type="gramEnd"/>
            <w:r w:rsidRPr="00B83279">
              <w:rPr>
                <w:lang w:eastAsia="ar-SA"/>
              </w:rPr>
              <w:t xml:space="preserve"> обеспечивать стабильность положения сидящего и одновременно улучшает его осанку. Максимальная допустимая нагрузка на изделие – не менее 120 кг. Длина: не менее 370мм; Ширина: не менее 370 мм; Высота: не менее 40 мм.</w:t>
            </w:r>
          </w:p>
          <w:p w:rsidR="007902BF" w:rsidRPr="00B83279" w:rsidRDefault="007902BF" w:rsidP="001B4090">
            <w:pPr>
              <w:ind w:firstLine="34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t>Должно быть Соответствие ГОСТ ISO 10993-1-</w:t>
            </w:r>
            <w:proofErr w:type="gramStart"/>
            <w:r w:rsidRPr="00B83279">
              <w:rPr>
                <w:lang w:eastAsia="ar-SA"/>
              </w:rPr>
              <w:t>2011  "</w:t>
            </w:r>
            <w:proofErr w:type="gramEnd"/>
            <w:r w:rsidRPr="00B83279">
              <w:rPr>
                <w:lang w:eastAsia="ar-SA"/>
              </w:rPr>
              <w:t xml:space="preserve">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83279">
              <w:rPr>
                <w:lang w:eastAsia="ar-SA"/>
              </w:rPr>
              <w:t>цитотоксичность</w:t>
            </w:r>
            <w:proofErr w:type="spellEnd"/>
            <w:r w:rsidRPr="00B83279">
              <w:rPr>
                <w:lang w:eastAsia="ar-SA"/>
              </w:rPr>
              <w:t xml:space="preserve">: методы </w:t>
            </w:r>
            <w:proofErr w:type="spellStart"/>
            <w:r w:rsidRPr="00B83279">
              <w:rPr>
                <w:lang w:eastAsia="ar-SA"/>
              </w:rPr>
              <w:t>in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spellStart"/>
            <w:r w:rsidRPr="00B83279">
              <w:rPr>
                <w:lang w:eastAsia="ar-SA"/>
              </w:rPr>
              <w:t>vitro</w:t>
            </w:r>
            <w:proofErr w:type="spellEnd"/>
            <w:r w:rsidRPr="00B83279">
              <w:rPr>
                <w:lang w:eastAsia="ar-SA"/>
              </w:rPr>
              <w:t xml:space="preserve">", ГОСТ ISO 10993-10-2011." Изделия медицинские. Оценка биологического </w:t>
            </w:r>
            <w:r w:rsidRPr="00B83279">
              <w:rPr>
                <w:lang w:eastAsia="ar-SA"/>
              </w:rPr>
              <w:lastRenderedPageBreak/>
              <w:t>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</w:t>
            </w:r>
            <w:proofErr w:type="gramStart"/>
            <w:r w:rsidRPr="00B83279">
              <w:rPr>
                <w:lang w:eastAsia="ar-SA"/>
              </w:rPr>
              <w:t>химических  и</w:t>
            </w:r>
            <w:proofErr w:type="gramEnd"/>
            <w:r w:rsidRPr="00B83279">
              <w:rPr>
                <w:lang w:eastAsia="ar-SA"/>
              </w:rPr>
      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  <w:lang w:eastAsia="ar-SA"/>
              </w:rPr>
            </w:pPr>
            <w:r w:rsidRPr="00B83279"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kern w:val="2"/>
                <w:lang w:eastAsia="ar-SA"/>
              </w:rPr>
            </w:pPr>
            <w:r w:rsidRPr="00B83279">
              <w:rPr>
                <w:kern w:val="2"/>
                <w:lang w:eastAsia="ar-SA"/>
              </w:rPr>
              <w:t>900,14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95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85 513,30</w:t>
            </w:r>
          </w:p>
        </w:tc>
      </w:tr>
      <w:tr w:rsidR="007902BF" w:rsidRPr="00B83279" w:rsidTr="001B4090">
        <w:trPr>
          <w:trHeight w:val="3877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tabs>
                <w:tab w:val="left" w:pos="0"/>
              </w:tabs>
              <w:suppressAutoHyphens/>
              <w:snapToGrid w:val="0"/>
              <w:ind w:firstLine="34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lang w:eastAsia="ar-SA"/>
              </w:rPr>
            </w:pPr>
            <w:r w:rsidRPr="00910C14">
              <w:rPr>
                <w:lang w:eastAsia="ar-SA"/>
              </w:rPr>
              <w:t>Государственное учреждение – Севастопольское региональное отделение Фонда      социального               страхования Российской Федерации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971,41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9 714,10</w:t>
            </w:r>
          </w:p>
        </w:tc>
      </w:tr>
      <w:tr w:rsidR="007902BF" w:rsidRPr="00B83279" w:rsidTr="001B4090">
        <w:trPr>
          <w:trHeight w:val="3877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tabs>
                <w:tab w:val="left" w:pos="0"/>
              </w:tabs>
              <w:suppressAutoHyphens/>
              <w:snapToGrid w:val="0"/>
              <w:ind w:firstLine="34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jc w:val="center"/>
              <w:rPr>
                <w:lang w:eastAsia="ar-SA"/>
              </w:rPr>
            </w:pPr>
            <w:r w:rsidRPr="003325F9">
              <w:rPr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7902BF" w:rsidRPr="00B83279" w:rsidTr="001B4090">
        <w:trPr>
          <w:trHeight w:val="1341"/>
        </w:trPr>
        <w:tc>
          <w:tcPr>
            <w:tcW w:w="1951" w:type="dxa"/>
            <w:vMerge w:val="restart"/>
          </w:tcPr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lastRenderedPageBreak/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</w:t>
            </w:r>
            <w:proofErr w:type="spellStart"/>
            <w:proofErr w:type="gramStart"/>
            <w:r w:rsidRPr="00B83279">
              <w:rPr>
                <w:lang w:eastAsia="ar-SA"/>
              </w:rPr>
              <w:t>гелевая</w:t>
            </w:r>
            <w:proofErr w:type="spellEnd"/>
            <w:r w:rsidRPr="00B83279">
              <w:rPr>
                <w:bCs/>
                <w:lang w:eastAsia="ar-SA"/>
              </w:rPr>
              <w:t xml:space="preserve"> .</w:t>
            </w:r>
            <w:proofErr w:type="gramEnd"/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Модель_________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Страна производитель</w:t>
            </w:r>
          </w:p>
          <w:p w:rsidR="007902BF" w:rsidRPr="00B83279" w:rsidRDefault="007902BF" w:rsidP="001B4090">
            <w:pPr>
              <w:jc w:val="right"/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________</w:t>
            </w:r>
          </w:p>
        </w:tc>
        <w:tc>
          <w:tcPr>
            <w:tcW w:w="2835" w:type="dxa"/>
            <w:vMerge w:val="restart"/>
          </w:tcPr>
          <w:p w:rsidR="007902BF" w:rsidRPr="00B83279" w:rsidRDefault="007902BF" w:rsidP="001B4090">
            <w:pPr>
              <w:suppressAutoHyphens/>
              <w:ind w:firstLine="34"/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</w:t>
            </w:r>
            <w:proofErr w:type="spellStart"/>
            <w:r w:rsidRPr="00B83279">
              <w:rPr>
                <w:lang w:eastAsia="ar-SA"/>
              </w:rPr>
              <w:t>гелевая</w:t>
            </w:r>
            <w:proofErr w:type="spellEnd"/>
            <w:r w:rsidRPr="00B83279">
              <w:rPr>
                <w:lang w:eastAsia="ar-SA"/>
              </w:rPr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B83279">
              <w:rPr>
                <w:lang w:eastAsia="ar-SA"/>
              </w:rPr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</w:t>
            </w:r>
            <w:proofErr w:type="gramStart"/>
            <w:r w:rsidRPr="00B83279">
              <w:rPr>
                <w:lang w:eastAsia="ar-SA"/>
              </w:rPr>
              <w:t>должна  обеспечивать</w:t>
            </w:r>
            <w:proofErr w:type="gramEnd"/>
            <w:r w:rsidRPr="00B83279">
              <w:rPr>
                <w:lang w:eastAsia="ar-SA"/>
              </w:rPr>
              <w:t xml:space="preserve">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поролона, имеющую поверхность в форме ячеек. Внутренний </w:t>
            </w:r>
            <w:proofErr w:type="spellStart"/>
            <w:r w:rsidRPr="00B83279">
              <w:rPr>
                <w:lang w:eastAsia="ar-SA"/>
              </w:rPr>
              <w:t>гелевый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gramStart"/>
            <w:r w:rsidRPr="00B83279">
              <w:rPr>
                <w:lang w:eastAsia="ar-SA"/>
              </w:rPr>
              <w:t>слой  должен</w:t>
            </w:r>
            <w:proofErr w:type="gramEnd"/>
            <w:r w:rsidRPr="00B83279">
              <w:rPr>
                <w:lang w:eastAsia="ar-SA"/>
              </w:rPr>
              <w:t xml:space="preserve"> создавать профилактический </w:t>
            </w:r>
            <w:proofErr w:type="spellStart"/>
            <w:r w:rsidRPr="00B83279">
              <w:rPr>
                <w:lang w:eastAsia="ar-SA"/>
              </w:rPr>
              <w:t>противопролежневый</w:t>
            </w:r>
            <w:proofErr w:type="spellEnd"/>
            <w:r w:rsidRPr="00B83279">
              <w:rPr>
                <w:lang w:eastAsia="ar-SA"/>
              </w:rPr>
              <w:t xml:space="preserve"> эффект и должен иметь непромокаемое плащевое покрытие. </w:t>
            </w:r>
            <w:proofErr w:type="spellStart"/>
            <w:r w:rsidRPr="00B83279">
              <w:rPr>
                <w:lang w:eastAsia="ar-SA"/>
              </w:rPr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</w:t>
            </w:r>
            <w:proofErr w:type="spellStart"/>
            <w:r w:rsidRPr="00B83279">
              <w:rPr>
                <w:lang w:eastAsia="ar-SA"/>
              </w:rPr>
              <w:t>гелевая</w:t>
            </w:r>
            <w:proofErr w:type="spellEnd"/>
            <w:r w:rsidRPr="00B83279">
              <w:rPr>
                <w:lang w:eastAsia="ar-SA"/>
              </w:rPr>
              <w:t xml:space="preserve"> должна обеспечивать прохладу и удобство посадочной поверхности, применяется при профилактике первых стадий пролежней, а также для размещения в кресле-коляске </w:t>
            </w:r>
            <w:r w:rsidRPr="00B83279">
              <w:rPr>
                <w:lang w:eastAsia="ar-SA"/>
              </w:rPr>
              <w:lastRenderedPageBreak/>
              <w:t xml:space="preserve">и включает водонепроницаемый съемочный чехол. Максимальная допустимая нагрузка на изделие – не менее 120 кг. </w:t>
            </w:r>
            <w:proofErr w:type="gramStart"/>
            <w:r w:rsidRPr="00B83279">
              <w:rPr>
                <w:lang w:eastAsia="ar-SA"/>
              </w:rPr>
              <w:t>Длина  не</w:t>
            </w:r>
            <w:proofErr w:type="gramEnd"/>
            <w:r w:rsidRPr="00B83279">
              <w:rPr>
                <w:lang w:eastAsia="ar-SA"/>
              </w:rPr>
              <w:t xml:space="preserve"> менее 370мм.  Ширина: не менее 370мм. Высота: не менее 40 мм.</w:t>
            </w:r>
          </w:p>
          <w:p w:rsidR="007902BF" w:rsidRPr="00B83279" w:rsidRDefault="007902BF" w:rsidP="001B4090">
            <w:pPr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t>Должно быть Соответствие ГОСТ ISO 10993-1-</w:t>
            </w:r>
            <w:proofErr w:type="gramStart"/>
            <w:r w:rsidRPr="00B83279">
              <w:rPr>
                <w:lang w:eastAsia="ar-SA"/>
              </w:rPr>
              <w:t>2011  "</w:t>
            </w:r>
            <w:proofErr w:type="gramEnd"/>
            <w:r w:rsidRPr="00B83279">
              <w:rPr>
                <w:lang w:eastAsia="ar-SA"/>
              </w:rPr>
              <w:t xml:space="preserve">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83279">
              <w:rPr>
                <w:lang w:eastAsia="ar-SA"/>
              </w:rPr>
              <w:t>цитотоксичность</w:t>
            </w:r>
            <w:proofErr w:type="spellEnd"/>
            <w:r w:rsidRPr="00B83279">
              <w:rPr>
                <w:lang w:eastAsia="ar-SA"/>
              </w:rPr>
              <w:t xml:space="preserve">: методы </w:t>
            </w:r>
            <w:proofErr w:type="spellStart"/>
            <w:r w:rsidRPr="00B83279">
              <w:rPr>
                <w:lang w:eastAsia="ar-SA"/>
              </w:rPr>
              <w:t>in</w:t>
            </w:r>
            <w:proofErr w:type="spellEnd"/>
            <w:r w:rsidRPr="00B83279">
              <w:rPr>
                <w:lang w:eastAsia="ar-SA"/>
              </w:rPr>
              <w:t xml:space="preserve"> </w:t>
            </w:r>
            <w:proofErr w:type="spellStart"/>
            <w:r w:rsidRPr="00B83279">
              <w:rPr>
                <w:lang w:eastAsia="ar-SA"/>
              </w:rPr>
              <w:t>vitro</w:t>
            </w:r>
            <w:proofErr w:type="spellEnd"/>
            <w:r w:rsidRPr="00B83279">
              <w:rPr>
                <w:lang w:eastAsia="ar-SA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</w:t>
            </w:r>
            <w:proofErr w:type="gramStart"/>
            <w:r w:rsidRPr="00B83279">
              <w:rPr>
                <w:lang w:eastAsia="ar-SA"/>
              </w:rPr>
              <w:t>химических  и</w:t>
            </w:r>
            <w:proofErr w:type="gramEnd"/>
            <w:r w:rsidRPr="00B83279">
              <w:rPr>
                <w:lang w:eastAsia="ar-SA"/>
              </w:rPr>
      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suppressAutoHyphens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suppressAutoHyphens/>
              <w:snapToGrid w:val="0"/>
              <w:jc w:val="center"/>
              <w:rPr>
                <w:b/>
              </w:rPr>
            </w:pPr>
            <w:r w:rsidRPr="00B83279"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 w:rsidRPr="00B83279">
              <w:rPr>
                <w:kern w:val="2"/>
                <w:lang w:eastAsia="ar-SA"/>
              </w:rPr>
              <w:t>1 198,91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17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20 381,47</w:t>
            </w:r>
          </w:p>
        </w:tc>
      </w:tr>
      <w:tr w:rsidR="007902BF" w:rsidRPr="00B83279" w:rsidTr="001B4090">
        <w:trPr>
          <w:trHeight w:val="1341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suppressAutoHyphens/>
              <w:ind w:firstLine="34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suppressAutoHyphens/>
              <w:jc w:val="center"/>
              <w:rPr>
                <w:lang w:eastAsia="ar-SA"/>
              </w:rPr>
            </w:pPr>
            <w:r w:rsidRPr="00910C14">
              <w:rPr>
                <w:lang w:eastAsia="ar-SA"/>
              </w:rPr>
              <w:t>Государственное учреждение – Севастопольское региональное отделение Фонда      социального               страхования Российской Федерации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3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1 211,37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6 056,85</w:t>
            </w:r>
          </w:p>
        </w:tc>
      </w:tr>
      <w:tr w:rsidR="007902BF" w:rsidRPr="00B83279" w:rsidTr="001B4090">
        <w:trPr>
          <w:trHeight w:val="1341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suppressAutoHyphens/>
              <w:ind w:firstLine="34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3325F9">
              <w:rPr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ind w:firstLine="33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1 303,14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26 062,80</w:t>
            </w:r>
          </w:p>
        </w:tc>
      </w:tr>
      <w:tr w:rsidR="007902BF" w:rsidRPr="00B83279" w:rsidTr="001B4090">
        <w:trPr>
          <w:trHeight w:val="1795"/>
        </w:trPr>
        <w:tc>
          <w:tcPr>
            <w:tcW w:w="1951" w:type="dxa"/>
            <w:vMerge w:val="restart"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lastRenderedPageBreak/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воздушная.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 xml:space="preserve"> Модель_________</w:t>
            </w:r>
          </w:p>
          <w:p w:rsidR="007902BF" w:rsidRPr="00B83279" w:rsidRDefault="007902BF" w:rsidP="001B4090">
            <w:pPr>
              <w:suppressAutoHyphens/>
              <w:snapToGrid w:val="0"/>
              <w:rPr>
                <w:bCs/>
                <w:lang w:eastAsia="ar-SA"/>
              </w:rPr>
            </w:pPr>
            <w:r w:rsidRPr="00B83279">
              <w:rPr>
                <w:bCs/>
                <w:lang w:eastAsia="ar-SA"/>
              </w:rPr>
              <w:t>Страна производитель</w:t>
            </w:r>
          </w:p>
          <w:p w:rsidR="007902BF" w:rsidRPr="00B83279" w:rsidRDefault="007902BF" w:rsidP="001B4090">
            <w:pPr>
              <w:rPr>
                <w:b/>
                <w:lang w:eastAsia="ar-SA"/>
              </w:rPr>
            </w:pPr>
            <w:r w:rsidRPr="00B83279">
              <w:rPr>
                <w:bCs/>
                <w:lang w:eastAsia="ar-SA"/>
              </w:rPr>
              <w:t>________</w:t>
            </w:r>
          </w:p>
        </w:tc>
        <w:tc>
          <w:tcPr>
            <w:tcW w:w="2835" w:type="dxa"/>
            <w:vMerge w:val="restart"/>
          </w:tcPr>
          <w:p w:rsidR="007902BF" w:rsidRPr="00B83279" w:rsidRDefault="007902BF" w:rsidP="001B4090">
            <w:pPr>
              <w:rPr>
                <w:lang w:eastAsia="ar-SA"/>
              </w:rPr>
            </w:pPr>
            <w:proofErr w:type="spellStart"/>
            <w:r w:rsidRPr="00B83279">
              <w:rPr>
                <w:lang w:eastAsia="ar-SA"/>
              </w:rPr>
              <w:t>Противопролежневая</w:t>
            </w:r>
            <w:proofErr w:type="spellEnd"/>
            <w:r w:rsidRPr="00B83279">
              <w:rPr>
                <w:lang w:eastAsia="ar-SA"/>
              </w:rPr>
              <w:t xml:space="preserve">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Изделие состоит из небольших надувных камер, в которые компрессором попеременно нагнетается и устраняется воздух. Такое механическое воздействие способствует улучшению кровообращению тканей, предотвращая застойные явления и развитие пролежней. Подушка </w:t>
            </w:r>
            <w:r w:rsidRPr="00B83279">
              <w:rPr>
                <w:lang w:eastAsia="ar-SA"/>
              </w:rPr>
              <w:lastRenderedPageBreak/>
              <w:t xml:space="preserve">соответствует размерам кресла-коляски, обеспечивает защиту спины, копчика и посадочной поверхности. Глубокое погружение достигается путем поддержания внутреннего давления воздуха в подушке, не позволяя любой части тела, особенно костным выступам, прикоснутся к базе опоры.  Наполнение внутреннего объема </w:t>
            </w:r>
            <w:proofErr w:type="spellStart"/>
            <w:r w:rsidRPr="00B83279">
              <w:rPr>
                <w:lang w:eastAsia="ar-SA"/>
              </w:rPr>
              <w:t>противопролежневой</w:t>
            </w:r>
            <w:proofErr w:type="spellEnd"/>
            <w:r w:rsidRPr="00B83279">
              <w:rPr>
                <w:lang w:eastAsia="ar-SA"/>
              </w:rPr>
              <w:t xml:space="preserve"> подушки – воздух. Максимальная допустимая нагрузка на изделие – не менее 120 кг. Длина не менее 370мм. Ширина: не менее 370мм. Высота: не менее 40 мм.</w:t>
            </w:r>
          </w:p>
          <w:p w:rsidR="007902BF" w:rsidRPr="00B83279" w:rsidRDefault="007902BF" w:rsidP="001B4090">
            <w:pPr>
              <w:ind w:firstLine="34"/>
              <w:rPr>
                <w:b/>
                <w:lang w:eastAsia="ar-SA"/>
              </w:rPr>
            </w:pPr>
            <w:r w:rsidRPr="00B83279">
              <w:rPr>
                <w:lang w:eastAsia="ar-SA"/>
              </w:rPr>
              <w:t xml:space="preserve">Должно быть Соответствие ГОСТ Р 52770-2016 "Изделия медицинские. Требования безопасности. Методы санитарно-химических и </w:t>
            </w:r>
            <w:proofErr w:type="spellStart"/>
            <w:r w:rsidRPr="00B83279">
              <w:rPr>
                <w:lang w:eastAsia="ar-SA"/>
              </w:rPr>
              <w:t>токсилогических</w:t>
            </w:r>
            <w:proofErr w:type="spellEnd"/>
            <w:r w:rsidRPr="00B83279">
              <w:rPr>
                <w:lang w:eastAsia="ar-SA"/>
              </w:rPr>
              <w:t xml:space="preserve"> испытаний".</w:t>
            </w: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suppressAutoHyphens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7902BF" w:rsidRPr="00B83279" w:rsidRDefault="007902BF" w:rsidP="001B4090">
            <w:pPr>
              <w:suppressAutoHyphens/>
              <w:snapToGrid w:val="0"/>
              <w:ind w:firstLine="33"/>
              <w:jc w:val="center"/>
              <w:rPr>
                <w:b/>
              </w:rPr>
            </w:pPr>
            <w:r w:rsidRPr="00B83279">
              <w:rPr>
                <w:b/>
              </w:rPr>
              <w:t>шт.</w:t>
            </w: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 w:rsidRPr="00B83279">
              <w:rPr>
                <w:kern w:val="2"/>
                <w:lang w:eastAsia="ar-SA"/>
              </w:rPr>
              <w:t>1 228,55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47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 w:rsidRPr="00B83279">
              <w:rPr>
                <w:lang w:eastAsia="ar-SA"/>
              </w:rPr>
              <w:t>57 741,85</w:t>
            </w:r>
          </w:p>
        </w:tc>
      </w:tr>
      <w:tr w:rsidR="007902BF" w:rsidRPr="00B83279" w:rsidTr="001B4090">
        <w:trPr>
          <w:trHeight w:val="1795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suppressAutoHyphens/>
              <w:jc w:val="center"/>
              <w:rPr>
                <w:lang w:eastAsia="ar-SA"/>
              </w:rPr>
            </w:pPr>
            <w:r w:rsidRPr="00910C14">
              <w:rPr>
                <w:lang w:eastAsia="ar-SA"/>
              </w:rPr>
              <w:t>Государственное учреждение – Севастопольское региональное отделение Фонда      социального               страхования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7902BF" w:rsidRPr="00B83279" w:rsidRDefault="007902BF" w:rsidP="001B4090">
            <w:pPr>
              <w:suppressAutoHyphens/>
              <w:snapToGrid w:val="0"/>
              <w:ind w:firstLine="3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1 314,26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9 199,82</w:t>
            </w:r>
          </w:p>
        </w:tc>
      </w:tr>
      <w:tr w:rsidR="007902BF" w:rsidRPr="00B83279" w:rsidTr="001B4090">
        <w:trPr>
          <w:trHeight w:val="1795"/>
        </w:trPr>
        <w:tc>
          <w:tcPr>
            <w:tcW w:w="1951" w:type="dxa"/>
            <w:vMerge/>
          </w:tcPr>
          <w:p w:rsidR="007902BF" w:rsidRPr="00B83279" w:rsidRDefault="007902BF" w:rsidP="001B40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902BF" w:rsidRPr="00B83279" w:rsidRDefault="007902BF" w:rsidP="001B4090">
            <w:pPr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902BF" w:rsidRPr="00B83279" w:rsidRDefault="007902BF" w:rsidP="001B4090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3325F9">
              <w:rPr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67" w:type="dxa"/>
            <w:vMerge/>
            <w:vAlign w:val="center"/>
          </w:tcPr>
          <w:p w:rsidR="007902BF" w:rsidRPr="00B83279" w:rsidRDefault="007902BF" w:rsidP="001B4090">
            <w:pPr>
              <w:suppressAutoHyphens/>
              <w:snapToGrid w:val="0"/>
              <w:ind w:firstLine="3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902BF" w:rsidRPr="00B83279" w:rsidRDefault="007902BF" w:rsidP="001B4090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vAlign w:val="center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7902BF" w:rsidRPr="00B83279" w:rsidTr="001B4090">
        <w:tc>
          <w:tcPr>
            <w:tcW w:w="4786" w:type="dxa"/>
            <w:gridSpan w:val="2"/>
          </w:tcPr>
          <w:p w:rsidR="007902BF" w:rsidRPr="00B83279" w:rsidRDefault="007902BF" w:rsidP="001B4090">
            <w:pPr>
              <w:ind w:firstLine="34"/>
              <w:rPr>
                <w:b/>
                <w:lang w:eastAsia="ar-SA"/>
              </w:rPr>
            </w:pPr>
            <w:r w:rsidRPr="00B83279">
              <w:rPr>
                <w:b/>
                <w:lang w:eastAsia="ar-SA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7902BF" w:rsidRPr="00B83279" w:rsidRDefault="007902BF" w:rsidP="001B4090">
            <w:pPr>
              <w:ind w:firstLine="34"/>
              <w:jc w:val="right"/>
              <w:rPr>
                <w:b/>
                <w:lang w:eastAsia="ar-SA"/>
              </w:rPr>
            </w:pPr>
          </w:p>
        </w:tc>
        <w:tc>
          <w:tcPr>
            <w:tcW w:w="567" w:type="dxa"/>
          </w:tcPr>
          <w:p w:rsidR="007902BF" w:rsidRPr="00B83279" w:rsidRDefault="007902BF" w:rsidP="001B4090">
            <w:pPr>
              <w:ind w:left="-108" w:right="-108" w:firstLine="34"/>
              <w:jc w:val="right"/>
              <w:rPr>
                <w:b/>
                <w:lang w:eastAsia="ar-SA"/>
              </w:rPr>
            </w:pPr>
          </w:p>
        </w:tc>
        <w:tc>
          <w:tcPr>
            <w:tcW w:w="992" w:type="dxa"/>
          </w:tcPr>
          <w:p w:rsidR="007902BF" w:rsidRPr="00B83279" w:rsidRDefault="007902BF" w:rsidP="001B4090">
            <w:pPr>
              <w:ind w:firstLine="34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7902BF" w:rsidRPr="00B83279" w:rsidRDefault="007902BF" w:rsidP="001B4090">
            <w:pPr>
              <w:keepLines/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748</w:t>
            </w:r>
          </w:p>
        </w:tc>
        <w:tc>
          <w:tcPr>
            <w:tcW w:w="1417" w:type="dxa"/>
            <w:vAlign w:val="bottom"/>
          </w:tcPr>
          <w:p w:rsidR="007902BF" w:rsidRPr="00B83279" w:rsidRDefault="007902BF" w:rsidP="001B4090">
            <w:pPr>
              <w:keepLines/>
              <w:widowControl w:val="0"/>
              <w:suppressAutoHyphens/>
              <w:ind w:firstLine="3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3 235 627,98</w:t>
            </w:r>
          </w:p>
        </w:tc>
      </w:tr>
    </w:tbl>
    <w:p w:rsidR="007902BF" w:rsidRPr="00B83279" w:rsidRDefault="007902BF" w:rsidP="007902BF">
      <w:pPr>
        <w:suppressAutoHyphens/>
        <w:ind w:firstLine="709"/>
        <w:jc w:val="both"/>
        <w:rPr>
          <w:lang w:eastAsia="ar-SA"/>
        </w:rPr>
      </w:pPr>
    </w:p>
    <w:p w:rsidR="007902BF" w:rsidRPr="00843DD5" w:rsidRDefault="007902BF" w:rsidP="007902BF">
      <w:pPr>
        <w:suppressAutoHyphens/>
        <w:ind w:firstLine="709"/>
        <w:jc w:val="both"/>
        <w:rPr>
          <w:b/>
          <w:bCs/>
          <w:lang w:eastAsia="ar-SA"/>
        </w:rPr>
      </w:pPr>
      <w:r w:rsidRPr="00CB63C7">
        <w:rPr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</w:t>
      </w:r>
    </w:p>
    <w:p w:rsidR="007902BF" w:rsidRPr="00B83279" w:rsidRDefault="007902BF" w:rsidP="007902BF">
      <w:pPr>
        <w:widowControl w:val="0"/>
        <w:suppressAutoHyphens/>
        <w:ind w:firstLine="709"/>
        <w:jc w:val="both"/>
        <w:rPr>
          <w:lang w:eastAsia="ar-SA"/>
        </w:rPr>
      </w:pPr>
      <w:r w:rsidRPr="00B83279">
        <w:rPr>
          <w:lang w:eastAsia="ar-SA"/>
        </w:rPr>
        <w:t xml:space="preserve">Поставка Товара осуществляется непосредственно Получателю по месту жительства в течение 30 календарных дней с момента получения реестров Получателей, сформированных по заявкам инвалидов, но </w:t>
      </w:r>
      <w:r w:rsidRPr="00B83279">
        <w:rPr>
          <w:b/>
          <w:lang w:eastAsia="ar-SA"/>
        </w:rPr>
        <w:t>не позднее 10.12.2018 года</w:t>
      </w:r>
      <w:r w:rsidRPr="00B83279">
        <w:rPr>
          <w:lang w:eastAsia="ar-SA"/>
        </w:rPr>
        <w:t>:</w:t>
      </w:r>
    </w:p>
    <w:p w:rsidR="007902BF" w:rsidRPr="00B83279" w:rsidRDefault="007902BF" w:rsidP="007902BF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83279">
        <w:rPr>
          <w:lang w:eastAsia="ar-SA"/>
        </w:rPr>
        <w:t xml:space="preserve">Государственное учреждение – Ростовское региональное отделение Фонда социального страхования Российской Федерации: г. Ростов-на-Дону, </w:t>
      </w:r>
      <w:proofErr w:type="spellStart"/>
      <w:r w:rsidRPr="00B83279">
        <w:rPr>
          <w:lang w:eastAsia="ar-SA"/>
        </w:rPr>
        <w:t>Мясниковский</w:t>
      </w:r>
      <w:proofErr w:type="spellEnd"/>
      <w:r w:rsidRPr="00B83279">
        <w:rPr>
          <w:lang w:eastAsia="ar-SA"/>
        </w:rPr>
        <w:t xml:space="preserve">,  </w:t>
      </w:r>
      <w:proofErr w:type="spellStart"/>
      <w:r w:rsidRPr="00B83279">
        <w:rPr>
          <w:lang w:eastAsia="ar-SA"/>
        </w:rPr>
        <w:t>Родионово</w:t>
      </w:r>
      <w:proofErr w:type="spellEnd"/>
      <w:r w:rsidRPr="00B83279">
        <w:rPr>
          <w:lang w:eastAsia="ar-SA"/>
        </w:rPr>
        <w:t xml:space="preserve"> - </w:t>
      </w:r>
      <w:proofErr w:type="spellStart"/>
      <w:r w:rsidRPr="00B83279">
        <w:rPr>
          <w:lang w:eastAsia="ar-SA"/>
        </w:rPr>
        <w:t>Несветайский</w:t>
      </w:r>
      <w:proofErr w:type="spellEnd"/>
      <w:r w:rsidRPr="00B83279">
        <w:rPr>
          <w:lang w:eastAsia="ar-SA"/>
        </w:rPr>
        <w:t xml:space="preserve"> районы, г. Аксай, </w:t>
      </w:r>
      <w:proofErr w:type="spellStart"/>
      <w:r w:rsidRPr="00B83279">
        <w:rPr>
          <w:lang w:eastAsia="ar-SA"/>
        </w:rPr>
        <w:t>Аксайский</w:t>
      </w:r>
      <w:proofErr w:type="spellEnd"/>
      <w:r w:rsidRPr="00B83279">
        <w:rPr>
          <w:lang w:eastAsia="ar-SA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B83279">
        <w:rPr>
          <w:lang w:eastAsia="ar-SA"/>
        </w:rPr>
        <w:t>Мартыновский</w:t>
      </w:r>
      <w:proofErr w:type="spellEnd"/>
      <w:r w:rsidRPr="00B83279">
        <w:rPr>
          <w:lang w:eastAsia="ar-SA"/>
        </w:rPr>
        <w:t xml:space="preserve"> районы, г. Миллерово, Миллеровский, </w:t>
      </w:r>
      <w:proofErr w:type="spellStart"/>
      <w:r w:rsidRPr="00B83279">
        <w:rPr>
          <w:lang w:eastAsia="ar-SA"/>
        </w:rPr>
        <w:t>Кашарский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Чертковский</w:t>
      </w:r>
      <w:proofErr w:type="spellEnd"/>
      <w:r w:rsidRPr="00B83279">
        <w:rPr>
          <w:lang w:eastAsia="ar-SA"/>
        </w:rPr>
        <w:t xml:space="preserve">, В-Донской, Шолоховский, </w:t>
      </w:r>
      <w:proofErr w:type="spellStart"/>
      <w:r w:rsidRPr="00B83279">
        <w:rPr>
          <w:lang w:eastAsia="ar-SA"/>
        </w:rPr>
        <w:t>Боковский</w:t>
      </w:r>
      <w:proofErr w:type="spellEnd"/>
      <w:r w:rsidRPr="00B83279">
        <w:rPr>
          <w:lang w:eastAsia="ar-SA"/>
        </w:rPr>
        <w:t xml:space="preserve"> районы, г. Зерноград, Зерноградский, </w:t>
      </w:r>
      <w:proofErr w:type="spellStart"/>
      <w:r w:rsidRPr="00B83279">
        <w:rPr>
          <w:lang w:eastAsia="ar-SA"/>
        </w:rPr>
        <w:t>Егорлыкский</w:t>
      </w:r>
      <w:proofErr w:type="spellEnd"/>
      <w:r w:rsidRPr="00B83279">
        <w:rPr>
          <w:lang w:eastAsia="ar-SA"/>
        </w:rPr>
        <w:t xml:space="preserve"> районы, Батайск, </w:t>
      </w:r>
      <w:proofErr w:type="spellStart"/>
      <w:r w:rsidRPr="00B83279">
        <w:rPr>
          <w:lang w:eastAsia="ar-SA"/>
        </w:rPr>
        <w:t>Кагальницкий</w:t>
      </w:r>
      <w:proofErr w:type="spellEnd"/>
      <w:r w:rsidRPr="00B83279">
        <w:rPr>
          <w:lang w:eastAsia="ar-SA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B83279">
        <w:rPr>
          <w:lang w:eastAsia="ar-SA"/>
        </w:rPr>
        <w:t>Неклиновский</w:t>
      </w:r>
      <w:proofErr w:type="spellEnd"/>
      <w:r w:rsidRPr="00B83279">
        <w:rPr>
          <w:lang w:eastAsia="ar-SA"/>
        </w:rPr>
        <w:t xml:space="preserve">, Куйбышевский районы, г. Белая Калитва, </w:t>
      </w:r>
      <w:proofErr w:type="spellStart"/>
      <w:r w:rsidRPr="00B83279">
        <w:rPr>
          <w:lang w:eastAsia="ar-SA"/>
        </w:rPr>
        <w:t>Белокалитвенский</w:t>
      </w:r>
      <w:proofErr w:type="spellEnd"/>
      <w:r w:rsidRPr="00B83279">
        <w:rPr>
          <w:lang w:eastAsia="ar-SA"/>
        </w:rPr>
        <w:t xml:space="preserve">, Тацинский районы, г. Красный Сулин, </w:t>
      </w:r>
      <w:proofErr w:type="spellStart"/>
      <w:r w:rsidRPr="00B83279">
        <w:rPr>
          <w:lang w:eastAsia="ar-SA"/>
        </w:rPr>
        <w:t>Красносулинский</w:t>
      </w:r>
      <w:proofErr w:type="spellEnd"/>
      <w:r w:rsidRPr="00B83279">
        <w:rPr>
          <w:lang w:eastAsia="ar-SA"/>
        </w:rPr>
        <w:t xml:space="preserve">, Октябрьский районы, г. Волгодонск,  </w:t>
      </w:r>
      <w:proofErr w:type="spellStart"/>
      <w:r w:rsidRPr="00B83279">
        <w:rPr>
          <w:lang w:eastAsia="ar-SA"/>
        </w:rPr>
        <w:t>Волгодонской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Цимлянский</w:t>
      </w:r>
      <w:proofErr w:type="spellEnd"/>
      <w:r w:rsidRPr="00B83279">
        <w:rPr>
          <w:lang w:eastAsia="ar-SA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B83279">
        <w:rPr>
          <w:lang w:eastAsia="ar-SA"/>
        </w:rPr>
        <w:t>Сальский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Песчанокопский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Целинский</w:t>
      </w:r>
      <w:proofErr w:type="spellEnd"/>
      <w:r w:rsidRPr="00B83279">
        <w:rPr>
          <w:lang w:eastAsia="ar-SA"/>
        </w:rPr>
        <w:t xml:space="preserve"> районы, п. Зимовники, </w:t>
      </w:r>
      <w:proofErr w:type="spellStart"/>
      <w:r w:rsidRPr="00B83279">
        <w:rPr>
          <w:lang w:eastAsia="ar-SA"/>
        </w:rPr>
        <w:t>Зимовниковский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Заветинский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Дубовский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Ремонтненский</w:t>
      </w:r>
      <w:proofErr w:type="spellEnd"/>
      <w:r w:rsidRPr="00B83279">
        <w:rPr>
          <w:lang w:eastAsia="ar-SA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B83279">
        <w:rPr>
          <w:lang w:eastAsia="ar-SA"/>
        </w:rPr>
        <w:t>Милютинский</w:t>
      </w:r>
      <w:proofErr w:type="spellEnd"/>
      <w:r w:rsidRPr="00B83279">
        <w:rPr>
          <w:lang w:eastAsia="ar-SA"/>
        </w:rPr>
        <w:t xml:space="preserve">, </w:t>
      </w:r>
      <w:proofErr w:type="spellStart"/>
      <w:r w:rsidRPr="00B83279">
        <w:rPr>
          <w:lang w:eastAsia="ar-SA"/>
        </w:rPr>
        <w:t>Обливский</w:t>
      </w:r>
      <w:proofErr w:type="spellEnd"/>
      <w:r w:rsidRPr="00B83279">
        <w:rPr>
          <w:lang w:eastAsia="ar-SA"/>
        </w:rPr>
        <w:t xml:space="preserve"> районы.</w:t>
      </w:r>
    </w:p>
    <w:p w:rsidR="007902BF" w:rsidRDefault="007902BF" w:rsidP="007902BF">
      <w:pPr>
        <w:ind w:firstLine="708"/>
        <w:jc w:val="both"/>
        <w:rPr>
          <w:lang w:eastAsia="ar-SA"/>
        </w:rPr>
      </w:pPr>
      <w:r w:rsidRPr="00910C14">
        <w:rPr>
          <w:lang w:eastAsia="ar-SA"/>
        </w:rPr>
        <w:t>- Государственное учреждение – Севастопольское региональное отделение Фонда социального страхования Российской Федерации: Россий</w:t>
      </w:r>
      <w:r>
        <w:rPr>
          <w:lang w:eastAsia="ar-SA"/>
        </w:rPr>
        <w:t>ская Федерация, г. Севастополь.</w:t>
      </w:r>
    </w:p>
    <w:p w:rsidR="007902BF" w:rsidRDefault="007902BF" w:rsidP="007902BF">
      <w:pPr>
        <w:ind w:firstLine="708"/>
        <w:jc w:val="both"/>
      </w:pPr>
      <w:r w:rsidRPr="00AF58B7">
        <w:rPr>
          <w:lang w:eastAsia="ar-SA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</w:t>
      </w:r>
      <w:r w:rsidRPr="00AF58B7">
        <w:rPr>
          <w:lang w:eastAsia="ar-SA"/>
        </w:rPr>
        <w:lastRenderedPageBreak/>
        <w:t xml:space="preserve">Красногвардейский район, </w:t>
      </w:r>
      <w:proofErr w:type="spellStart"/>
      <w:r w:rsidRPr="00AF58B7">
        <w:rPr>
          <w:lang w:eastAsia="ar-SA"/>
        </w:rPr>
        <w:t>Нижегорский</w:t>
      </w:r>
      <w:proofErr w:type="spellEnd"/>
      <w:r w:rsidRPr="00AF58B7">
        <w:rPr>
          <w:lang w:eastAsia="ar-SA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AF58B7">
        <w:rPr>
          <w:lang w:eastAsia="ar-SA"/>
        </w:rPr>
        <w:t>Раздольненский</w:t>
      </w:r>
      <w:proofErr w:type="spellEnd"/>
      <w:r w:rsidRPr="00AF58B7">
        <w:rPr>
          <w:lang w:eastAsia="ar-SA"/>
        </w:rPr>
        <w:t xml:space="preserve"> район, Первомайский район, Симферопольский район, </w:t>
      </w:r>
      <w:proofErr w:type="spellStart"/>
      <w:r w:rsidRPr="00AF58B7">
        <w:rPr>
          <w:lang w:eastAsia="ar-SA"/>
        </w:rPr>
        <w:t>Сакский</w:t>
      </w:r>
      <w:proofErr w:type="spellEnd"/>
      <w:r w:rsidRPr="00AF58B7">
        <w:rPr>
          <w:lang w:eastAsia="ar-SA"/>
        </w:rPr>
        <w:t xml:space="preserve"> район, </w:t>
      </w:r>
      <w:proofErr w:type="spellStart"/>
      <w:r w:rsidRPr="00AF58B7">
        <w:rPr>
          <w:lang w:eastAsia="ar-SA"/>
        </w:rPr>
        <w:t>Джанкойс</w:t>
      </w:r>
      <w:r>
        <w:rPr>
          <w:lang w:eastAsia="ar-SA"/>
        </w:rPr>
        <w:t>кий</w:t>
      </w:r>
      <w:proofErr w:type="spellEnd"/>
      <w:r>
        <w:rPr>
          <w:lang w:eastAsia="ar-SA"/>
        </w:rPr>
        <w:t xml:space="preserve"> район, Бахчисарайский район.</w:t>
      </w:r>
    </w:p>
    <w:p w:rsidR="007902BF" w:rsidRDefault="007902BF" w:rsidP="007902BF">
      <w:pPr>
        <w:rPr>
          <w:b/>
        </w:rPr>
      </w:pPr>
    </w:p>
    <w:p w:rsidR="007902BF" w:rsidRDefault="007902BF" w:rsidP="007902BF">
      <w:pPr>
        <w:rPr>
          <w:b/>
        </w:rPr>
      </w:pPr>
    </w:p>
    <w:p w:rsidR="007902BF" w:rsidRDefault="007902BF" w:rsidP="007902BF">
      <w:pPr>
        <w:rPr>
          <w:b/>
        </w:rPr>
      </w:pPr>
    </w:p>
    <w:p w:rsidR="009C5E9F" w:rsidRDefault="009C5E9F">
      <w:bookmarkStart w:id="0" w:name="_GoBack"/>
      <w:bookmarkEnd w:id="0"/>
    </w:p>
    <w:sectPr w:rsidR="009C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BF"/>
    <w:rsid w:val="007902BF"/>
    <w:rsid w:val="009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086C-2A06-4AD6-BB10-C2A3A04D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B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90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7902B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1</cp:revision>
  <dcterms:created xsi:type="dcterms:W3CDTF">2018-08-16T08:13:00Z</dcterms:created>
  <dcterms:modified xsi:type="dcterms:W3CDTF">2018-08-16T08:13:00Z</dcterms:modified>
</cp:coreProperties>
</file>