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1B90" w:rsidRDefault="00781B90" w:rsidP="00781B90">
      <w:pPr>
        <w:tabs>
          <w:tab w:val="left" w:pos="4395"/>
        </w:tabs>
        <w:jc w:val="center"/>
        <w:rPr>
          <w:b/>
        </w:rPr>
      </w:pPr>
      <w:bookmarkStart w:id="0" w:name="_GoBack"/>
      <w:bookmarkEnd w:id="0"/>
      <w:r w:rsidRPr="001B5D2C">
        <w:rPr>
          <w:b/>
        </w:rPr>
        <w:t>Описание объекта закупки</w:t>
      </w:r>
    </w:p>
    <w:p w:rsidR="00781B90" w:rsidRPr="001B5D2C" w:rsidRDefault="00781B90" w:rsidP="00781B90">
      <w:pPr>
        <w:jc w:val="center"/>
        <w:rPr>
          <w:b/>
        </w:rPr>
      </w:pPr>
      <w:r>
        <w:rPr>
          <w:b/>
        </w:rPr>
        <w:t>Выполнение работ по изготовлению</w:t>
      </w:r>
      <w:r w:rsidRPr="004A379F">
        <w:rPr>
          <w:b/>
        </w:rPr>
        <w:t xml:space="preserve"> </w:t>
      </w:r>
      <w:r>
        <w:rPr>
          <w:b/>
        </w:rPr>
        <w:t>протезов для инвалидов Республики Крым.</w:t>
      </w:r>
    </w:p>
    <w:p w:rsidR="00781B90" w:rsidRPr="001B5D2C" w:rsidRDefault="00781B90" w:rsidP="00781B90">
      <w:pPr>
        <w:pStyle w:val="text"/>
        <w:widowControl w:val="0"/>
        <w:tabs>
          <w:tab w:val="left" w:pos="2783"/>
        </w:tabs>
        <w:suppressAutoHyphens/>
        <w:ind w:left="0" w:right="0" w:firstLine="709"/>
        <w:jc w:val="both"/>
        <w:rPr>
          <w:rFonts w:ascii="Times New Roman" w:hAnsi="Times New Roman" w:cs="Times New Roman"/>
          <w:b/>
          <w:sz w:val="24"/>
          <w:szCs w:val="24"/>
        </w:rPr>
      </w:pPr>
      <w:r w:rsidRPr="001B5D2C">
        <w:rPr>
          <w:rFonts w:ascii="Times New Roman" w:hAnsi="Times New Roman" w:cs="Times New Roman"/>
          <w:sz w:val="24"/>
          <w:szCs w:val="24"/>
        </w:rPr>
        <w:tab/>
      </w:r>
      <w:r w:rsidRPr="001B5D2C">
        <w:rPr>
          <w:rFonts w:ascii="Times New Roman" w:hAnsi="Times New Roman" w:cs="Times New Roman"/>
          <w:b/>
          <w:sz w:val="24"/>
          <w:szCs w:val="24"/>
        </w:rPr>
        <w:t>1.Требования к качеству работ</w:t>
      </w:r>
    </w:p>
    <w:p w:rsidR="00781B90" w:rsidRDefault="00781B90" w:rsidP="00781B90">
      <w:pPr>
        <w:ind w:firstLine="708"/>
        <w:jc w:val="both"/>
        <w:rPr>
          <w:rFonts w:eastAsia="DejaVu Sans"/>
        </w:rPr>
      </w:pPr>
      <w:r>
        <w:rPr>
          <w:lang w:eastAsia="ru-RU"/>
        </w:rPr>
        <w:t xml:space="preserve">Протезы нижних конечностей </w:t>
      </w:r>
      <w:r>
        <w:t>должны</w:t>
      </w:r>
      <w:r w:rsidRPr="007C278C">
        <w:t xml:space="preserve"> соответствовать требованиям Государственного стандарта Россий</w:t>
      </w:r>
      <w:r>
        <w:t>ской Федерации ГОСТ Р 51632-2014</w:t>
      </w:r>
      <w:r w:rsidRPr="007C278C">
        <w:t xml:space="preserve"> «Технические средства реабилитации людей с ограничениями жизнедеятельности. Общие технические требования и методы испытаний</w:t>
      </w:r>
      <w:r>
        <w:t xml:space="preserve">», </w:t>
      </w:r>
      <w:r w:rsidRPr="0027448A">
        <w:rPr>
          <w:rFonts w:eastAsia="DejaVu Sans"/>
        </w:rPr>
        <w:t>ГОСТ Р ИСО 22523-2007 «Протезы конечностей и ортезы наружные»</w:t>
      </w:r>
      <w:r>
        <w:rPr>
          <w:rFonts w:eastAsia="DejaVu Sans"/>
        </w:rPr>
        <w:t>.</w:t>
      </w:r>
    </w:p>
    <w:p w:rsidR="00781B90" w:rsidRPr="001B5D2C" w:rsidRDefault="00781B90" w:rsidP="00781B90">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781B90" w:rsidRPr="004C027E" w:rsidRDefault="00781B90" w:rsidP="00781B90">
      <w:pPr>
        <w:widowControl w:val="0"/>
        <w:ind w:firstLine="709"/>
        <w:jc w:val="both"/>
      </w:pPr>
      <w:r>
        <w:t>Протезы нижних конечностей должны</w:t>
      </w:r>
      <w:r w:rsidRPr="001B5D2C">
        <w:t xml:space="preserve"> отвечать требованиям ГОСТ ISO 10993-1-2011 Изделия медицинские. Оценка биологического действия медицинских изделий. </w:t>
      </w:r>
      <w:r>
        <w:t xml:space="preserve">Часть 1. Оценка и исследования. </w:t>
      </w:r>
      <w:hyperlink r:id="rId7" w:history="1">
        <w:r w:rsidRPr="001B5D2C">
          <w:t>ГОСТ ISO 10993-5-2011</w:t>
        </w:r>
      </w:hyperlink>
      <w:r w:rsidRPr="001B5D2C">
        <w:t xml:space="preserve"> </w:t>
      </w:r>
      <w:hyperlink r:id="rId8" w:history="1">
        <w:r w:rsidRPr="001B5D2C">
          <w:t>Изделия медицинские. Оценка биологического действия медицинских изделий. Часть 5. Исследования на цитотоксичность: методы in vitro</w:t>
        </w:r>
      </w:hyperlink>
      <w:r w:rsidRPr="001B5D2C">
        <w:t xml:space="preserve">. </w:t>
      </w:r>
      <w:hyperlink r:id="rId9" w:history="1">
        <w:r w:rsidRPr="001B5D2C">
          <w:t>ГОСТ ISO 10993-10-2011</w:t>
        </w:r>
      </w:hyperlink>
      <w:r w:rsidRPr="001B5D2C">
        <w:t xml:space="preserve"> </w:t>
      </w:r>
      <w:hyperlink r:id="rId10" w:history="1">
        <w:r w:rsidRPr="001B5D2C">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1B5D2C">
        <w:t xml:space="preserve">. </w:t>
      </w:r>
      <w:hyperlink r:id="rId11" w:history="1">
        <w:r w:rsidRPr="001B5D2C">
          <w:t>ГОСТ Р 52770-20</w:t>
        </w:r>
      </w:hyperlink>
      <w:r>
        <w:t>16</w:t>
      </w:r>
      <w:r w:rsidRPr="001B5D2C">
        <w:t xml:space="preserve"> </w:t>
      </w:r>
      <w:r>
        <w:t>«</w:t>
      </w:r>
      <w:hyperlink r:id="rId12" w:history="1">
        <w:r w:rsidRPr="001B5D2C">
          <w:t>Изделия медицинские. Требования безопасности. Методы санитарно-химических и токсикологических испытаний</w:t>
        </w:r>
      </w:hyperlink>
      <w:r>
        <w:t xml:space="preserve">», </w:t>
      </w:r>
      <w:r>
        <w:br/>
        <w:t>ГОСТ 53869-2010 «Протезы нижних конечностей. Технические требования».</w:t>
      </w:r>
    </w:p>
    <w:p w:rsidR="00781B90" w:rsidRPr="001B5D2C" w:rsidRDefault="00781B90" w:rsidP="00781B90">
      <w:pPr>
        <w:ind w:firstLine="709"/>
        <w:jc w:val="center"/>
        <w:rPr>
          <w:b/>
        </w:rPr>
      </w:pPr>
      <w:r w:rsidRPr="001B5D2C">
        <w:rPr>
          <w:b/>
        </w:rPr>
        <w:t>3. Требования к функциональным характеристикам</w:t>
      </w:r>
    </w:p>
    <w:p w:rsidR="00781B90" w:rsidRPr="00470A8C" w:rsidRDefault="00781B90" w:rsidP="00781B90">
      <w:pPr>
        <w:ind w:firstLine="709"/>
        <w:jc w:val="both"/>
      </w:pPr>
      <w:r w:rsidRPr="00470A8C">
        <w:t>Выполняемы</w:t>
      </w:r>
      <w:r>
        <w:t xml:space="preserve">е работы по обеспечению инвалидов протезами </w:t>
      </w:r>
      <w:r w:rsidRPr="00470A8C">
        <w:t>должны 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781B90" w:rsidRPr="00470A8C" w:rsidRDefault="00781B90" w:rsidP="00781B90">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w:t>
      </w:r>
      <w:r>
        <w:t xml:space="preserve">ранение косметических дефектов </w:t>
      </w:r>
      <w:r w:rsidRPr="00470A8C">
        <w:t>конечностей пациентов с помощью протезов.</w:t>
      </w:r>
      <w:r>
        <w:t xml:space="preserve"> </w:t>
      </w:r>
    </w:p>
    <w:p w:rsidR="00781B90" w:rsidRPr="001B5D2C" w:rsidRDefault="00781B90" w:rsidP="00781B90">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781B90" w:rsidRDefault="00781B90" w:rsidP="00781B90">
      <w:pPr>
        <w:ind w:firstLine="708"/>
        <w:jc w:val="both"/>
      </w:pPr>
      <w:r w:rsidRPr="007C278C">
        <w:t>Пр</w:t>
      </w:r>
      <w:r>
        <w:t>и необходимости отправка протезов к месту нахождения инвалидов</w:t>
      </w:r>
      <w:r w:rsidRPr="007C278C">
        <w:t xml:space="preserve"> должна осуществляться с соблюдением требований </w:t>
      </w:r>
      <w:r>
        <w:t>ГОСТ Р 51632-2014</w:t>
      </w:r>
      <w:r w:rsidRPr="007C278C">
        <w:t xml:space="preserve"> «Технические средства реабилитации людей</w:t>
      </w:r>
      <w:r>
        <w:t xml:space="preserve"> с</w:t>
      </w:r>
      <w:r w:rsidRPr="007C278C">
        <w:t xml:space="preserve"> ограничениями жизнедеятельности</w:t>
      </w:r>
      <w:r>
        <w:t>.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использования по назначению. </w:t>
      </w:r>
    </w:p>
    <w:p w:rsidR="00781B90" w:rsidRPr="001B5D2C" w:rsidRDefault="00781B90" w:rsidP="00781B90">
      <w:pPr>
        <w:ind w:firstLine="709"/>
        <w:jc w:val="center"/>
        <w:rPr>
          <w:b/>
        </w:rPr>
      </w:pPr>
      <w:r w:rsidRPr="001B5D2C">
        <w:rPr>
          <w:b/>
        </w:rPr>
        <w:t>5. Требование к результатам работ</w:t>
      </w:r>
    </w:p>
    <w:p w:rsidR="00781B90" w:rsidRPr="00E656E7" w:rsidRDefault="00781B90" w:rsidP="00781B90">
      <w:pPr>
        <w:ind w:firstLine="708"/>
        <w:jc w:val="both"/>
      </w:pPr>
      <w:r>
        <w:t xml:space="preserve">Работы по обеспечению инвалидов протезами </w:t>
      </w:r>
      <w:r w:rsidRPr="007C278C">
        <w:t xml:space="preserve">следует считать эффективно исполненными, если у </w:t>
      </w:r>
      <w:r>
        <w:t>инвалида восстановлены двигательные функции</w:t>
      </w:r>
      <w:r w:rsidRPr="00DB7ECF">
        <w:t xml:space="preserve"> конечности, созданы</w:t>
      </w:r>
      <w:r w:rsidRPr="007C278C">
        <w:t xml:space="preserve"> условия для предупреждения развития деформации или благоприятного течения болезни. Работы п</w:t>
      </w:r>
      <w:r>
        <w:t>о обеспечению инвалидов протезами</w:t>
      </w:r>
      <w:r w:rsidRPr="007C278C">
        <w:t xml:space="preserve"> должны быть выполнены с надлежащим качеством и в установленные сроки.</w:t>
      </w:r>
    </w:p>
    <w:p w:rsidR="00781B90" w:rsidRDefault="00781B90" w:rsidP="00781B90">
      <w:pPr>
        <w:autoSpaceDE w:val="0"/>
        <w:rPr>
          <w:b/>
        </w:rPr>
      </w:pPr>
    </w:p>
    <w:p w:rsidR="00781B90" w:rsidRPr="001B5D2C" w:rsidRDefault="00781B90" w:rsidP="00781B90">
      <w:pPr>
        <w:autoSpaceDE w:val="0"/>
        <w:jc w:val="center"/>
        <w:rPr>
          <w:b/>
        </w:rPr>
      </w:pPr>
      <w:r w:rsidRPr="001B5D2C">
        <w:rPr>
          <w:b/>
        </w:rPr>
        <w:t>6. Требования к сроку и (или) объему предоставленных гарантий качества выполнения работ</w:t>
      </w:r>
    </w:p>
    <w:p w:rsidR="00781B90" w:rsidRDefault="00781B90" w:rsidP="00781B90">
      <w:pPr>
        <w:ind w:firstLine="708"/>
        <w:jc w:val="both"/>
      </w:pPr>
      <w:r>
        <w:t xml:space="preserve">Срок пользования протезами </w:t>
      </w:r>
      <w:r w:rsidRPr="007F2787">
        <w:t xml:space="preserve">должен быть не менее минимального срока пользования, установленного приказом Минтруда </w:t>
      </w:r>
      <w:r>
        <w:t>и социальной защиты Российской Федерации от 13.02.2018 №8</w:t>
      </w:r>
      <w:r w:rsidRPr="007F2787">
        <w:t>5н.</w:t>
      </w:r>
    </w:p>
    <w:p w:rsidR="00781B90" w:rsidRDefault="00781B90" w:rsidP="00781B90">
      <w:pPr>
        <w:ind w:firstLine="708"/>
        <w:jc w:val="both"/>
      </w:pPr>
      <w:r>
        <w:t>Гарантийный срок на изделие устанавливается со дня выдачи готового Изделия в эксплуатацию не менее 7 месяцев.</w:t>
      </w:r>
    </w:p>
    <w:p w:rsidR="00781B90" w:rsidRDefault="00781B90" w:rsidP="00781B90">
      <w:pPr>
        <w:ind w:firstLine="708"/>
        <w:jc w:val="both"/>
      </w:pPr>
    </w:p>
    <w:p w:rsidR="00781B90" w:rsidRDefault="00781B90" w:rsidP="00781B90">
      <w:pPr>
        <w:ind w:firstLine="708"/>
        <w:jc w:val="both"/>
      </w:pPr>
      <w:r w:rsidRPr="00114A6D">
        <w:rPr>
          <w:b/>
        </w:rPr>
        <w:lastRenderedPageBreak/>
        <w:t>Место, условия и сроки выполнения работ</w:t>
      </w:r>
      <w:r w:rsidRPr="00114A6D">
        <w:rPr>
          <w:bCs/>
          <w:iCs/>
        </w:rPr>
        <w:t>:</w:t>
      </w:r>
      <w:r w:rsidRPr="00114A6D">
        <w:t xml:space="preserve"> </w:t>
      </w:r>
      <w:r w:rsidRPr="007F2787">
        <w:t xml:space="preserve">Производить замеры по месту жительства Получателя </w:t>
      </w:r>
      <w:r>
        <w:t xml:space="preserve">или, </w:t>
      </w:r>
      <w:r w:rsidRPr="007F2787">
        <w:t>по согласованию с Получателем</w:t>
      </w:r>
      <w:r>
        <w:t xml:space="preserve"> на территории Республики Крым.</w:t>
      </w:r>
      <w:r w:rsidRPr="007F2787">
        <w:t xml:space="preserve"> </w:t>
      </w:r>
      <w:r w:rsidRPr="007F2787">
        <w:rPr>
          <w:color w:val="212121"/>
        </w:rPr>
        <w:t xml:space="preserve">Выдать Изделие </w:t>
      </w:r>
      <w:r w:rsidRPr="007F2787">
        <w:t>непосредственно Получателю</w:t>
      </w:r>
      <w:r>
        <w:t xml:space="preserve"> при предъявлении паспорта по месту жительства или, по согласованию с Получателем</w:t>
      </w:r>
      <w:r w:rsidRPr="007F2787">
        <w:t>,</w:t>
      </w:r>
      <w:r>
        <w:t xml:space="preserve"> </w:t>
      </w:r>
      <w:r w:rsidRPr="007F2787">
        <w:t>на</w:t>
      </w:r>
      <w:r>
        <w:t xml:space="preserve"> территории Республики Крым, в соответствии с реестром, выданным Заказчиком, на основании направления, не </w:t>
      </w:r>
      <w:r w:rsidRPr="0017282E">
        <w:t xml:space="preserve">позднее </w:t>
      </w:r>
      <w:r>
        <w:t>01</w:t>
      </w:r>
      <w:r w:rsidRPr="0017282E">
        <w:t>.1</w:t>
      </w:r>
      <w:r>
        <w:t>2</w:t>
      </w:r>
      <w:r w:rsidRPr="0017282E">
        <w:t>.201</w:t>
      </w:r>
      <w:r>
        <w:t>8</w:t>
      </w:r>
      <w:r w:rsidRPr="0017282E">
        <w:t xml:space="preserve"> года</w:t>
      </w:r>
      <w:r>
        <w:t>.</w:t>
      </w:r>
    </w:p>
    <w:p w:rsidR="003B334A" w:rsidRPr="00C3305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418"/>
        <w:gridCol w:w="6095"/>
        <w:gridCol w:w="1417"/>
      </w:tblGrid>
      <w:tr w:rsidR="002D27AC" w:rsidTr="00BE2FD6">
        <w:trPr>
          <w:trHeight w:val="1474"/>
        </w:trPr>
        <w:tc>
          <w:tcPr>
            <w:tcW w:w="1418"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6095"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1417"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C64EA0" w:rsidRPr="001A159E" w:rsidTr="00BE2FD6">
        <w:tc>
          <w:tcPr>
            <w:tcW w:w="1418" w:type="dxa"/>
          </w:tcPr>
          <w:p w:rsidR="00C64EA0" w:rsidRPr="00792D93" w:rsidRDefault="00C64EA0" w:rsidP="00483B2B">
            <w:pPr>
              <w:jc w:val="both"/>
              <w:rPr>
                <w:rFonts w:ascii="Times New Roman" w:hAnsi="Times New Roman" w:cs="Times New Roman"/>
              </w:rPr>
            </w:pPr>
            <w:r w:rsidRPr="00792D93">
              <w:rPr>
                <w:rFonts w:ascii="Times New Roman" w:hAnsi="Times New Roman" w:cs="Times New Roman"/>
              </w:rPr>
              <w:t xml:space="preserve">Протез </w:t>
            </w:r>
            <w:r w:rsidR="00483B2B">
              <w:rPr>
                <w:rFonts w:ascii="Times New Roman" w:hAnsi="Times New Roman" w:cs="Times New Roman"/>
              </w:rPr>
              <w:t>голени модульного типа</w:t>
            </w:r>
          </w:p>
        </w:tc>
        <w:tc>
          <w:tcPr>
            <w:tcW w:w="6095" w:type="dxa"/>
          </w:tcPr>
          <w:p w:rsidR="00C64EA0" w:rsidRPr="00483B2B" w:rsidRDefault="00483B2B" w:rsidP="002F1068">
            <w:pPr>
              <w:rPr>
                <w:rFonts w:ascii="Times New Roman" w:eastAsia="Times New Roman" w:hAnsi="Times New Roman" w:cs="Times New Roman"/>
                <w:color w:val="212121"/>
              </w:rPr>
            </w:pPr>
            <w:r w:rsidRPr="00483B2B">
              <w:rPr>
                <w:rFonts w:ascii="Times New Roman" w:eastAsia="Times New Roman" w:hAnsi="Times New Roman" w:cs="Times New Roman"/>
                <w:color w:val="212121"/>
              </w:rPr>
              <w:t>Протез голени модульный без силиконового чехла. Формообразующая часть косметической оболочки - листовой поролон. Косметическое покрытие облицовки – чулки ортопедические перлоновые или силоновые. Приемная гильза индивидуальная (одна пробная гильза). Материал индивидуальной приемной гильзы: литьевой слоистый пластик на основе акриловых смол. Вкладная гильза из вспененных материалов. Крепление протеза с использованием гильзы (манжеты с шинами), наколенника, поясное. Регулировочно-соединительные устройства должны соответствовать весу инвалида. Стопа типа ППУ, или стопа типа SACH.</w:t>
            </w:r>
          </w:p>
        </w:tc>
        <w:tc>
          <w:tcPr>
            <w:tcW w:w="1417" w:type="dxa"/>
          </w:tcPr>
          <w:p w:rsidR="00C64EA0" w:rsidRPr="00792D93" w:rsidRDefault="00781B90" w:rsidP="00BE2FD6">
            <w:pPr>
              <w:jc w:val="center"/>
              <w:rPr>
                <w:rFonts w:ascii="Times New Roman" w:hAnsi="Times New Roman" w:cs="Times New Roman"/>
              </w:rPr>
            </w:pPr>
            <w:r>
              <w:rPr>
                <w:rFonts w:ascii="Times New Roman" w:hAnsi="Times New Roman" w:cs="Times New Roman"/>
              </w:rPr>
              <w:t>14</w:t>
            </w:r>
          </w:p>
        </w:tc>
      </w:tr>
      <w:tr w:rsidR="00483B2B" w:rsidRPr="001A159E" w:rsidTr="00BE2FD6">
        <w:tc>
          <w:tcPr>
            <w:tcW w:w="1418" w:type="dxa"/>
          </w:tcPr>
          <w:p w:rsidR="00483B2B" w:rsidRPr="00792D93" w:rsidRDefault="00483B2B" w:rsidP="00483B2B">
            <w:pPr>
              <w:jc w:val="both"/>
              <w:rPr>
                <w:rFonts w:ascii="Times New Roman" w:hAnsi="Times New Roman" w:cs="Times New Roman"/>
              </w:rPr>
            </w:pPr>
            <w:r w:rsidRPr="00792D93">
              <w:rPr>
                <w:rFonts w:ascii="Times New Roman" w:hAnsi="Times New Roman" w:cs="Times New Roman"/>
              </w:rPr>
              <w:t xml:space="preserve">Протез </w:t>
            </w:r>
            <w:r>
              <w:rPr>
                <w:rFonts w:ascii="Times New Roman" w:hAnsi="Times New Roman" w:cs="Times New Roman"/>
              </w:rPr>
              <w:t>голени модульного типа</w:t>
            </w:r>
          </w:p>
        </w:tc>
        <w:tc>
          <w:tcPr>
            <w:tcW w:w="6095" w:type="dxa"/>
          </w:tcPr>
          <w:p w:rsidR="00483B2B" w:rsidRPr="00483B2B" w:rsidRDefault="00483B2B" w:rsidP="00483B2B">
            <w:pPr>
              <w:rPr>
                <w:rFonts w:ascii="Times New Roman" w:eastAsia="Times New Roman" w:hAnsi="Times New Roman" w:cs="Times New Roman"/>
                <w:color w:val="212121"/>
              </w:rPr>
            </w:pPr>
            <w:r w:rsidRPr="00483B2B">
              <w:rPr>
                <w:rFonts w:ascii="Times New Roman" w:eastAsia="Times New Roman" w:hAnsi="Times New Roman" w:cs="Times New Roman"/>
                <w:color w:val="212121"/>
              </w:rPr>
              <w:t>Протез голени модульный. Формообразующая часть косметической облицовки – листовой поролон. Косметическое покрытие облицовки – чулки ортопедические перлоновые или силоновые. Приемная гильза индивидуальная (одна пробная гильза). Материал приемной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гильзы (манжеты с шинами), наколенника, поясное.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с голеностопным шарниром, со сменным пяточным амортизатором с двухступенчатой регулируемой пациентом высотой каблука, или  стопа полиуретановая с вмонтированным адаптером из легкого прочного материала, с пружинящим элементом, обладающим высокой отдачей энергии и обеспечивающим возможность динамического перехода из фазы опоры в фазу переноса.</w:t>
            </w:r>
          </w:p>
        </w:tc>
        <w:tc>
          <w:tcPr>
            <w:tcW w:w="1417" w:type="dxa"/>
          </w:tcPr>
          <w:p w:rsidR="00483B2B" w:rsidRPr="001A159E" w:rsidRDefault="00781B90" w:rsidP="00483B2B">
            <w:pPr>
              <w:jc w:val="center"/>
              <w:rPr>
                <w:rFonts w:ascii="Times New Roman" w:hAnsi="Times New Roman" w:cs="Times New Roman"/>
              </w:rPr>
            </w:pPr>
            <w:r>
              <w:rPr>
                <w:rFonts w:ascii="Times New Roman" w:hAnsi="Times New Roman" w:cs="Times New Roman"/>
              </w:rPr>
              <w:t>14</w:t>
            </w:r>
          </w:p>
        </w:tc>
      </w:tr>
      <w:tr w:rsidR="00483B2B" w:rsidRPr="001A159E" w:rsidTr="00BE2FD6">
        <w:tc>
          <w:tcPr>
            <w:tcW w:w="1418" w:type="dxa"/>
          </w:tcPr>
          <w:p w:rsidR="00483B2B" w:rsidRPr="00792D93" w:rsidRDefault="00483B2B" w:rsidP="00483B2B">
            <w:pPr>
              <w:jc w:val="both"/>
              <w:rPr>
                <w:rFonts w:ascii="Times New Roman" w:hAnsi="Times New Roman" w:cs="Times New Roman"/>
              </w:rPr>
            </w:pPr>
            <w:r w:rsidRPr="00792D93">
              <w:rPr>
                <w:rFonts w:ascii="Times New Roman" w:hAnsi="Times New Roman" w:cs="Times New Roman"/>
              </w:rPr>
              <w:t xml:space="preserve">Протез </w:t>
            </w:r>
            <w:r>
              <w:rPr>
                <w:rFonts w:ascii="Times New Roman" w:hAnsi="Times New Roman" w:cs="Times New Roman"/>
              </w:rPr>
              <w:t>голени модульного типа</w:t>
            </w:r>
          </w:p>
        </w:tc>
        <w:tc>
          <w:tcPr>
            <w:tcW w:w="6095" w:type="dxa"/>
          </w:tcPr>
          <w:p w:rsidR="00483B2B" w:rsidRPr="00483B2B" w:rsidRDefault="00483B2B" w:rsidP="00483B2B">
            <w:pPr>
              <w:rPr>
                <w:rFonts w:ascii="Times New Roman" w:eastAsia="Times New Roman" w:hAnsi="Times New Roman" w:cs="Times New Roman"/>
                <w:color w:val="212121"/>
              </w:rPr>
            </w:pPr>
            <w:r w:rsidRPr="00483B2B">
              <w:rPr>
                <w:rFonts w:ascii="Times New Roman" w:eastAsia="Times New Roman" w:hAnsi="Times New Roman" w:cs="Times New Roman"/>
                <w:color w:val="212121"/>
              </w:rPr>
              <w:t xml:space="preserve">Протез голени модульный с силиконовым чехлом. Формообразующая часть косметической оболочки - листовой поролон. Косметическое покрытие облицовки – чулки ортопедические перлоновые или силоновые. Приемная гильза индивидуальная (одна пробная гильза). Материал индивидуальной приемной гильзы: литьевой </w:t>
            </w:r>
            <w:r w:rsidRPr="00483B2B">
              <w:rPr>
                <w:rFonts w:ascii="Times New Roman" w:eastAsia="Times New Roman" w:hAnsi="Times New Roman" w:cs="Times New Roman"/>
                <w:color w:val="212121"/>
              </w:rPr>
              <w:lastRenderedPageBreak/>
              <w:t>слоистый пластик на основе акриловых смол. В качестве вкладного элемента применяются чехлы полимерные, крепление чехла с использованием замкового устройства или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с голеностопным шарниром, со сменным пяточным амортизатором с двухступенчатой регулируемой пациентом высотой каблука, или стопа полиуретановая с вмонтированным адаптером из легкого прочного материала, с пружинящим элементом, обладающим высокой отдачей энергии и обеспечивающим возможность динамического перехода из фазы опоры в фазу переноса, или  стопа с повышенной упругостью носочной части.</w:t>
            </w:r>
          </w:p>
        </w:tc>
        <w:tc>
          <w:tcPr>
            <w:tcW w:w="1417" w:type="dxa"/>
          </w:tcPr>
          <w:p w:rsidR="00483B2B" w:rsidRPr="00C64EA0" w:rsidRDefault="00781B90" w:rsidP="00483B2B">
            <w:pPr>
              <w:jc w:val="center"/>
              <w:rPr>
                <w:rFonts w:ascii="Times New Roman" w:hAnsi="Times New Roman" w:cs="Times New Roman"/>
              </w:rPr>
            </w:pPr>
            <w:r>
              <w:rPr>
                <w:rFonts w:ascii="Times New Roman" w:hAnsi="Times New Roman" w:cs="Times New Roman"/>
              </w:rPr>
              <w:lastRenderedPageBreak/>
              <w:t>4</w:t>
            </w:r>
          </w:p>
        </w:tc>
      </w:tr>
      <w:tr w:rsidR="001067B9" w:rsidRPr="001A159E" w:rsidTr="00BE2FD6">
        <w:tc>
          <w:tcPr>
            <w:tcW w:w="1418" w:type="dxa"/>
          </w:tcPr>
          <w:p w:rsidR="001067B9" w:rsidRPr="003E5149" w:rsidRDefault="001067B9" w:rsidP="001067B9">
            <w:pPr>
              <w:jc w:val="both"/>
              <w:rPr>
                <w:rFonts w:ascii="Times New Roman" w:hAnsi="Times New Roman" w:cs="Times New Roman"/>
              </w:rPr>
            </w:pPr>
            <w:r w:rsidRPr="003E5149">
              <w:rPr>
                <w:rFonts w:ascii="Times New Roman" w:hAnsi="Times New Roman" w:cs="Times New Roman"/>
              </w:rPr>
              <w:lastRenderedPageBreak/>
              <w:t>Итого</w:t>
            </w:r>
          </w:p>
        </w:tc>
        <w:tc>
          <w:tcPr>
            <w:tcW w:w="6095" w:type="dxa"/>
            <w:vAlign w:val="center"/>
          </w:tcPr>
          <w:p w:rsidR="001067B9" w:rsidRPr="00AD3A7A" w:rsidRDefault="001067B9" w:rsidP="001067B9">
            <w:pPr>
              <w:suppressAutoHyphens w:val="0"/>
              <w:jc w:val="both"/>
            </w:pPr>
          </w:p>
        </w:tc>
        <w:tc>
          <w:tcPr>
            <w:tcW w:w="1417" w:type="dxa"/>
          </w:tcPr>
          <w:p w:rsidR="001067B9" w:rsidRPr="003E5149" w:rsidRDefault="005A7B7A" w:rsidP="001067B9">
            <w:pPr>
              <w:jc w:val="center"/>
              <w:rPr>
                <w:rFonts w:ascii="Times New Roman" w:hAnsi="Times New Roman" w:cs="Times New Roman"/>
              </w:rPr>
            </w:pPr>
            <w:r>
              <w:rPr>
                <w:rFonts w:ascii="Times New Roman" w:hAnsi="Times New Roman" w:cs="Times New Roman"/>
              </w:rPr>
              <w:t>32</w:t>
            </w:r>
          </w:p>
        </w:tc>
      </w:tr>
    </w:tbl>
    <w:p w:rsidR="007F2787" w:rsidRDefault="007F2787" w:rsidP="00C71451">
      <w:pPr>
        <w:jc w:val="both"/>
      </w:pPr>
    </w:p>
    <w:p w:rsidR="00054B6F" w:rsidRDefault="00054B6F" w:rsidP="00C71451">
      <w:pPr>
        <w:jc w:val="both"/>
      </w:pPr>
    </w:p>
    <w:p w:rsidR="00054B6F" w:rsidRDefault="00054B6F" w:rsidP="00054B6F"/>
    <w:sectPr w:rsidR="00054B6F" w:rsidSect="002D27AC">
      <w:footerReference w:type="default" r:id="rId13"/>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83" w:rsidRDefault="004A7383">
      <w:r>
        <w:separator/>
      </w:r>
    </w:p>
  </w:endnote>
  <w:endnote w:type="continuationSeparator" w:id="0">
    <w:p w:rsidR="004A7383" w:rsidRDefault="004A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83" w:rsidRDefault="004A7383">
      <w:r>
        <w:separator/>
      </w:r>
    </w:p>
  </w:footnote>
  <w:footnote w:type="continuationSeparator" w:id="0">
    <w:p w:rsidR="004A7383" w:rsidRDefault="004A7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B267C"/>
    <w:rsid w:val="000B5315"/>
    <w:rsid w:val="000C7AA2"/>
    <w:rsid w:val="000F394C"/>
    <w:rsid w:val="000F560B"/>
    <w:rsid w:val="000F5F00"/>
    <w:rsid w:val="001067B9"/>
    <w:rsid w:val="00117778"/>
    <w:rsid w:val="001209F9"/>
    <w:rsid w:val="001268A4"/>
    <w:rsid w:val="00132BDE"/>
    <w:rsid w:val="00137892"/>
    <w:rsid w:val="00151A52"/>
    <w:rsid w:val="00155B55"/>
    <w:rsid w:val="00163F61"/>
    <w:rsid w:val="00166564"/>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2C62"/>
    <w:rsid w:val="00297F72"/>
    <w:rsid w:val="002A3DD1"/>
    <w:rsid w:val="002B496B"/>
    <w:rsid w:val="002B4B35"/>
    <w:rsid w:val="002B54B1"/>
    <w:rsid w:val="002C42D6"/>
    <w:rsid w:val="002D27AC"/>
    <w:rsid w:val="002F1068"/>
    <w:rsid w:val="002F44C4"/>
    <w:rsid w:val="002F55A8"/>
    <w:rsid w:val="00301CAE"/>
    <w:rsid w:val="003105A7"/>
    <w:rsid w:val="00313686"/>
    <w:rsid w:val="003207DF"/>
    <w:rsid w:val="00320FDB"/>
    <w:rsid w:val="00321438"/>
    <w:rsid w:val="0033114D"/>
    <w:rsid w:val="00336C8C"/>
    <w:rsid w:val="00342483"/>
    <w:rsid w:val="003526B1"/>
    <w:rsid w:val="00353D52"/>
    <w:rsid w:val="00356185"/>
    <w:rsid w:val="00364FAB"/>
    <w:rsid w:val="003650EA"/>
    <w:rsid w:val="003911DA"/>
    <w:rsid w:val="003A2A8F"/>
    <w:rsid w:val="003A5943"/>
    <w:rsid w:val="003B00B4"/>
    <w:rsid w:val="003B334A"/>
    <w:rsid w:val="003B5791"/>
    <w:rsid w:val="003C76D1"/>
    <w:rsid w:val="003E5149"/>
    <w:rsid w:val="00404FF5"/>
    <w:rsid w:val="00414C04"/>
    <w:rsid w:val="00415F8D"/>
    <w:rsid w:val="00420BE2"/>
    <w:rsid w:val="00423994"/>
    <w:rsid w:val="00433B09"/>
    <w:rsid w:val="00433C49"/>
    <w:rsid w:val="00435156"/>
    <w:rsid w:val="00443FA4"/>
    <w:rsid w:val="00453B8C"/>
    <w:rsid w:val="00461E48"/>
    <w:rsid w:val="00463864"/>
    <w:rsid w:val="004705DE"/>
    <w:rsid w:val="00481D3D"/>
    <w:rsid w:val="00483B2B"/>
    <w:rsid w:val="004A0C0A"/>
    <w:rsid w:val="004A26C0"/>
    <w:rsid w:val="004A379F"/>
    <w:rsid w:val="004A7383"/>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A7B7A"/>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775"/>
    <w:rsid w:val="006E6CA2"/>
    <w:rsid w:val="006F1C0E"/>
    <w:rsid w:val="00701585"/>
    <w:rsid w:val="007049EE"/>
    <w:rsid w:val="00706B75"/>
    <w:rsid w:val="0073339A"/>
    <w:rsid w:val="0073621E"/>
    <w:rsid w:val="007363BB"/>
    <w:rsid w:val="00774239"/>
    <w:rsid w:val="007815C5"/>
    <w:rsid w:val="00781B90"/>
    <w:rsid w:val="00792D93"/>
    <w:rsid w:val="007A0915"/>
    <w:rsid w:val="007A54BA"/>
    <w:rsid w:val="007B7762"/>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431A0"/>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2FD6"/>
    <w:rsid w:val="00BE617D"/>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9B7"/>
    <w:rsid w:val="00D7793C"/>
    <w:rsid w:val="00D829AA"/>
    <w:rsid w:val="00D93528"/>
    <w:rsid w:val="00D9651D"/>
    <w:rsid w:val="00D96FC5"/>
    <w:rsid w:val="00DA0A2D"/>
    <w:rsid w:val="00DA133A"/>
    <w:rsid w:val="00DA61EA"/>
    <w:rsid w:val="00DB2FCE"/>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A6ED1"/>
    <w:rsid w:val="00EB5EA1"/>
    <w:rsid w:val="00EB7206"/>
    <w:rsid w:val="00EE4374"/>
    <w:rsid w:val="00F00803"/>
    <w:rsid w:val="00F03642"/>
    <w:rsid w:val="00F225FE"/>
    <w:rsid w:val="00F25F31"/>
    <w:rsid w:val="00F27AB7"/>
    <w:rsid w:val="00F302BC"/>
    <w:rsid w:val="00F500F3"/>
    <w:rsid w:val="00F52B80"/>
    <w:rsid w:val="00F7165C"/>
    <w:rsid w:val="00F84FAA"/>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762E-6AD8-4527-87D0-51B00D2E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2</cp:revision>
  <cp:lastPrinted>2018-08-23T07:44:00Z</cp:lastPrinted>
  <dcterms:created xsi:type="dcterms:W3CDTF">2018-08-24T08:40:00Z</dcterms:created>
  <dcterms:modified xsi:type="dcterms:W3CDTF">2018-08-24T08:40:00Z</dcterms:modified>
  <dc:language>ru-RU</dc:language>
</cp:coreProperties>
</file>