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6C" w:rsidRDefault="00C2016C" w:rsidP="00C2016C">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C2016C" w:rsidRPr="00966C6E" w:rsidRDefault="00C2016C" w:rsidP="00C2016C">
      <w:pPr>
        <w:widowControl w:val="0"/>
        <w:tabs>
          <w:tab w:val="left" w:pos="0"/>
        </w:tabs>
        <w:jc w:val="center"/>
        <w:rPr>
          <w:b/>
        </w:rPr>
      </w:pPr>
      <w:r>
        <w:rPr>
          <w:b/>
          <w:bCs/>
        </w:rPr>
        <w:t>н</w:t>
      </w:r>
      <w:r w:rsidRPr="00966C6E">
        <w:rPr>
          <w:b/>
          <w:bCs/>
        </w:rPr>
        <w:t>а</w:t>
      </w:r>
      <w:r>
        <w:rPr>
          <w:b/>
          <w:bCs/>
        </w:rPr>
        <w:t xml:space="preserve"> поставку</w:t>
      </w:r>
      <w:r w:rsidRPr="00966C6E">
        <w:rPr>
          <w:b/>
          <w:bCs/>
        </w:rPr>
        <w:t xml:space="preserve"> </w:t>
      </w:r>
      <w:r w:rsidR="00F75A39">
        <w:rPr>
          <w:b/>
        </w:rPr>
        <w:t>абсорбирующего белья (пеленок)</w:t>
      </w:r>
      <w:r w:rsidRPr="00966C6E">
        <w:rPr>
          <w:b/>
        </w:rPr>
        <w:t xml:space="preserve"> для обеспечения ими в 2018 году инвалидов</w:t>
      </w:r>
    </w:p>
    <w:p w:rsidR="00C2016C" w:rsidRDefault="00C2016C" w:rsidP="00C2016C">
      <w:pPr>
        <w:tabs>
          <w:tab w:val="center" w:pos="4996"/>
          <w:tab w:val="left" w:pos="6840"/>
        </w:tabs>
        <w:ind w:firstLine="72"/>
        <w:jc w:val="center"/>
        <w:rPr>
          <w:rFonts w:eastAsia="Lucida Sans Unicode"/>
          <w:b/>
          <w:bCs/>
          <w:kern w:val="2"/>
          <w:lang w:eastAsia="ar-SA"/>
        </w:rPr>
      </w:pPr>
      <w:r>
        <w:rPr>
          <w:b/>
          <w:bCs/>
        </w:rPr>
        <w:t>ИКЗ:1811</w:t>
      </w:r>
      <w:r w:rsidR="00F75A39">
        <w:rPr>
          <w:b/>
          <w:bCs/>
        </w:rPr>
        <w:t>32602472113260100100080091722323</w:t>
      </w:r>
    </w:p>
    <w:p w:rsidR="006A3AD4" w:rsidRPr="006A3AD4" w:rsidRDefault="006A3AD4" w:rsidP="006A3AD4">
      <w:pPr>
        <w:pStyle w:val="af2"/>
        <w:keepNext/>
        <w:ind w:left="432"/>
        <w:jc w:val="center"/>
        <w:rPr>
          <w:b/>
        </w:rPr>
      </w:pPr>
      <w:r w:rsidRPr="006A3AD4">
        <w:rPr>
          <w:b/>
        </w:rPr>
        <w:t>1. Общие требования:</w:t>
      </w:r>
    </w:p>
    <w:p w:rsidR="006A3AD4" w:rsidRPr="005050F4" w:rsidRDefault="006A3AD4" w:rsidP="006A3AD4">
      <w:pPr>
        <w:keepNext/>
        <w:jc w:val="both"/>
      </w:pPr>
      <w:r>
        <w:t xml:space="preserve">        1. </w:t>
      </w:r>
      <w:r w:rsidRPr="005050F4">
        <w:t>Впитывающие простыни (пеленки)</w:t>
      </w:r>
      <w:r w:rsidRPr="006A3AD4">
        <w:rPr>
          <w:b/>
        </w:rPr>
        <w:t xml:space="preserve"> </w:t>
      </w:r>
      <w:r w:rsidRPr="005050F4">
        <w:t>должны обеспечивать соблюдение санитарно-гигиенических условий для инвалидов с нарушениями функций выделения.</w:t>
      </w:r>
    </w:p>
    <w:p w:rsidR="006A3AD4" w:rsidRPr="005050F4" w:rsidRDefault="006A3AD4" w:rsidP="006A3AD4">
      <w:pPr>
        <w:keepNext/>
        <w:jc w:val="both"/>
      </w:pPr>
      <w:r>
        <w:t xml:space="preserve">       </w:t>
      </w:r>
      <w:r w:rsidRPr="005050F4">
        <w:t xml:space="preserve"> </w:t>
      </w:r>
      <w:r>
        <w:t xml:space="preserve">2. </w:t>
      </w:r>
      <w:r w:rsidRPr="005050F4">
        <w:t xml:space="preserve">Впитывающая простыня (пеленка) должна представлять многослойное изделие </w:t>
      </w:r>
      <w:r>
        <w:t xml:space="preserve">одноразового использования </w:t>
      </w:r>
      <w:r w:rsidRPr="005050F4">
        <w:t>прямоугольной формы</w:t>
      </w:r>
      <w:r>
        <w:t xml:space="preserve"> из распушенной целлюлозы. Верхний слой пеленки должен состоять из мягкого гипоаллергенного нетканого материала, запечатанного по краям, что предотвращает влагу,</w:t>
      </w:r>
      <w:r w:rsidRPr="005050F4">
        <w:t xml:space="preserve"> нижний слой материала не пропускающий влагу. В простынях (пеленках) не допускаются следы выщипывания волокон с поверхности белья и отмарывания краски.</w:t>
      </w:r>
    </w:p>
    <w:p w:rsidR="006A3AD4" w:rsidRDefault="006A3AD4" w:rsidP="006A3AD4">
      <w:pPr>
        <w:keepNext/>
        <w:tabs>
          <w:tab w:val="left" w:pos="708"/>
        </w:tabs>
        <w:jc w:val="both"/>
      </w:pPr>
      <w:r>
        <w:t xml:space="preserve">       3. </w:t>
      </w:r>
      <w:r w:rsidRPr="005050F4">
        <w:t>Сырье и материалы для изготовления впитывающих простыней (пеленок)</w:t>
      </w:r>
      <w:r w:rsidRPr="006A3AD4">
        <w:rPr>
          <w:b/>
        </w:rPr>
        <w:t xml:space="preserve"> </w:t>
      </w:r>
      <w:r w:rsidRPr="005050F4">
        <w:t>должны быть разрешены к применению Федеральной службой по надзору в сфере защиты прав потребителей и благополучия человека.</w:t>
      </w:r>
    </w:p>
    <w:p w:rsidR="006A3AD4" w:rsidRPr="006A3AD4" w:rsidRDefault="006A3AD4" w:rsidP="006A3AD4">
      <w:pPr>
        <w:keepNext/>
        <w:tabs>
          <w:tab w:val="left" w:pos="708"/>
        </w:tabs>
        <w:ind w:left="72"/>
        <w:jc w:val="center"/>
        <w:rPr>
          <w:b/>
        </w:rPr>
      </w:pPr>
      <w:r w:rsidRPr="006A3AD4">
        <w:rPr>
          <w:b/>
        </w:rPr>
        <w:t>2. Требования к маркировке и упаковки абсорбирующего белья:</w:t>
      </w:r>
    </w:p>
    <w:p w:rsidR="006A3AD4" w:rsidRPr="007851C1" w:rsidRDefault="006A3AD4" w:rsidP="006A3AD4">
      <w:pPr>
        <w:pStyle w:val="af2"/>
        <w:keepNext/>
        <w:tabs>
          <w:tab w:val="left" w:pos="708"/>
        </w:tabs>
        <w:ind w:left="432"/>
        <w:jc w:val="both"/>
      </w:pPr>
      <w:r>
        <w:t xml:space="preserve">1. </w:t>
      </w:r>
      <w:r w:rsidRPr="007851C1">
        <w:t>Маркировка упаковки впитывающих простыней (пеленок)</w:t>
      </w:r>
      <w:r w:rsidRPr="006A3AD4">
        <w:rPr>
          <w:b/>
        </w:rPr>
        <w:t xml:space="preserve"> </w:t>
      </w:r>
      <w:r w:rsidRPr="007851C1">
        <w:t>должна включать:</w:t>
      </w:r>
    </w:p>
    <w:p w:rsidR="006A3AD4" w:rsidRPr="007851C1" w:rsidRDefault="006A3AD4" w:rsidP="006A3AD4">
      <w:pPr>
        <w:keepNext/>
        <w:tabs>
          <w:tab w:val="left" w:pos="708"/>
        </w:tabs>
        <w:jc w:val="both"/>
      </w:pPr>
      <w:r>
        <w:t xml:space="preserve">       </w:t>
      </w:r>
      <w:r w:rsidRPr="007851C1">
        <w:t>- условное обозначение группы впитывающих простыней (пелено</w:t>
      </w:r>
      <w:r>
        <w:t>к), товарную марку</w:t>
      </w:r>
      <w:r w:rsidRPr="007851C1">
        <w:t>, обозначени</w:t>
      </w:r>
      <w:r>
        <w:t>е размера изделия</w:t>
      </w:r>
      <w:r w:rsidRPr="007851C1">
        <w:t>;</w:t>
      </w:r>
    </w:p>
    <w:p w:rsidR="006A3AD4" w:rsidRPr="007851C1" w:rsidRDefault="006A3AD4" w:rsidP="006A3AD4">
      <w:pPr>
        <w:keepNext/>
        <w:tabs>
          <w:tab w:val="left" w:pos="708"/>
        </w:tabs>
        <w:jc w:val="both"/>
      </w:pPr>
      <w:r>
        <w:t xml:space="preserve">     </w:t>
      </w:r>
      <w:r w:rsidRPr="007851C1">
        <w:t>-обозначение впи</w:t>
      </w:r>
      <w:r>
        <w:t>тываемости изделия</w:t>
      </w:r>
      <w:r w:rsidRPr="007851C1">
        <w:t>;</w:t>
      </w:r>
    </w:p>
    <w:p w:rsidR="006A3AD4" w:rsidRPr="007851C1" w:rsidRDefault="006A3AD4" w:rsidP="006A3AD4">
      <w:pPr>
        <w:keepNext/>
        <w:tabs>
          <w:tab w:val="left" w:pos="708"/>
        </w:tabs>
        <w:jc w:val="both"/>
      </w:pPr>
      <w:r>
        <w:t xml:space="preserve">     </w:t>
      </w:r>
      <w:r w:rsidRPr="007851C1">
        <w:t>- страну-изготовителя;</w:t>
      </w:r>
    </w:p>
    <w:p w:rsidR="006A3AD4" w:rsidRPr="007851C1" w:rsidRDefault="006A3AD4" w:rsidP="006A3AD4">
      <w:pPr>
        <w:keepNext/>
        <w:tabs>
          <w:tab w:val="left" w:pos="708"/>
        </w:tabs>
        <w:jc w:val="both"/>
      </w:pPr>
      <w:r>
        <w:t xml:space="preserve">     </w:t>
      </w:r>
      <w:r w:rsidRPr="007851C1">
        <w:t>- наименование предприятия-изготовителя, юридический ад</w:t>
      </w:r>
      <w:r>
        <w:t>рес, товарный знак</w:t>
      </w:r>
      <w:r w:rsidRPr="007851C1">
        <w:t>;</w:t>
      </w:r>
    </w:p>
    <w:p w:rsidR="006A3AD4" w:rsidRPr="007851C1" w:rsidRDefault="006A3AD4" w:rsidP="006A3AD4">
      <w:pPr>
        <w:keepNext/>
        <w:tabs>
          <w:tab w:val="left" w:pos="708"/>
        </w:tabs>
        <w:jc w:val="both"/>
      </w:pPr>
      <w:r>
        <w:t xml:space="preserve">     </w:t>
      </w:r>
      <w:r w:rsidRPr="007851C1">
        <w:t>- отличительные характеристики впитывающих простыней (пеленок)</w:t>
      </w:r>
      <w:r w:rsidRPr="006A3AD4">
        <w:rPr>
          <w:b/>
        </w:rPr>
        <w:t xml:space="preserve"> </w:t>
      </w:r>
      <w:r w:rsidRPr="007851C1">
        <w:t>в соответствии с их техни</w:t>
      </w:r>
      <w:r>
        <w:t>ческим исполнением</w:t>
      </w:r>
      <w:r w:rsidRPr="007851C1">
        <w:t>;</w:t>
      </w:r>
    </w:p>
    <w:p w:rsidR="006A3AD4" w:rsidRPr="007851C1" w:rsidRDefault="006A3AD4" w:rsidP="006A3AD4">
      <w:pPr>
        <w:keepNext/>
        <w:tabs>
          <w:tab w:val="left" w:pos="708"/>
        </w:tabs>
        <w:jc w:val="both"/>
      </w:pPr>
      <w:r>
        <w:t xml:space="preserve">   - номер артикула</w:t>
      </w:r>
      <w:r w:rsidRPr="007851C1">
        <w:t>;</w:t>
      </w:r>
    </w:p>
    <w:p w:rsidR="006A3AD4" w:rsidRPr="007851C1" w:rsidRDefault="006A3AD4" w:rsidP="006A3AD4">
      <w:pPr>
        <w:keepNext/>
        <w:tabs>
          <w:tab w:val="left" w:pos="708"/>
        </w:tabs>
        <w:jc w:val="both"/>
      </w:pPr>
      <w:r>
        <w:t xml:space="preserve">   </w:t>
      </w:r>
      <w:r w:rsidRPr="007851C1">
        <w:t>- количество изделий в упаковке;</w:t>
      </w:r>
    </w:p>
    <w:p w:rsidR="006A3AD4" w:rsidRPr="007851C1" w:rsidRDefault="006A3AD4" w:rsidP="006A3AD4">
      <w:pPr>
        <w:keepNext/>
        <w:tabs>
          <w:tab w:val="left" w:pos="708"/>
        </w:tabs>
        <w:jc w:val="both"/>
      </w:pPr>
      <w:r>
        <w:t xml:space="preserve">   </w:t>
      </w:r>
      <w:r w:rsidRPr="007851C1">
        <w:t>- дату (месяц, год) изготовления;</w:t>
      </w:r>
    </w:p>
    <w:p w:rsidR="006A3AD4" w:rsidRPr="007851C1" w:rsidRDefault="006A3AD4" w:rsidP="006A3AD4">
      <w:pPr>
        <w:keepNext/>
        <w:tabs>
          <w:tab w:val="left" w:pos="708"/>
        </w:tabs>
        <w:jc w:val="both"/>
      </w:pPr>
      <w:r>
        <w:t xml:space="preserve">   </w:t>
      </w:r>
      <w:r w:rsidRPr="007851C1">
        <w:t>- гарантийный срок годности;</w:t>
      </w:r>
    </w:p>
    <w:p w:rsidR="006A3AD4" w:rsidRPr="007851C1" w:rsidRDefault="006A3AD4" w:rsidP="006A3AD4">
      <w:pPr>
        <w:keepNext/>
        <w:tabs>
          <w:tab w:val="left" w:pos="708"/>
        </w:tabs>
        <w:jc w:val="both"/>
      </w:pPr>
      <w:r>
        <w:t xml:space="preserve">   </w:t>
      </w:r>
      <w:r w:rsidRPr="007851C1">
        <w:t>- указания по утилизации: «Не бросать в канализацию»;</w:t>
      </w:r>
    </w:p>
    <w:p w:rsidR="006A3AD4" w:rsidRPr="007851C1" w:rsidRDefault="006A3AD4" w:rsidP="006A3AD4">
      <w:pPr>
        <w:keepNext/>
        <w:tabs>
          <w:tab w:val="left" w:pos="708"/>
        </w:tabs>
        <w:jc w:val="both"/>
      </w:pPr>
      <w:r>
        <w:t xml:space="preserve">   </w:t>
      </w:r>
      <w:r w:rsidRPr="007851C1">
        <w:t>- правила использования (при необходимости);</w:t>
      </w:r>
    </w:p>
    <w:p w:rsidR="006A3AD4" w:rsidRPr="007851C1" w:rsidRDefault="006A3AD4" w:rsidP="006A3AD4">
      <w:pPr>
        <w:keepNext/>
        <w:tabs>
          <w:tab w:val="left" w:pos="708"/>
        </w:tabs>
        <w:jc w:val="both"/>
      </w:pPr>
      <w:r>
        <w:t xml:space="preserve">   </w:t>
      </w:r>
      <w:r w:rsidRPr="007851C1">
        <w:t>- штриховой код изделия (при наличии);</w:t>
      </w:r>
    </w:p>
    <w:p w:rsidR="006A3AD4" w:rsidRDefault="006A3AD4" w:rsidP="006A3AD4">
      <w:pPr>
        <w:keepNext/>
        <w:tabs>
          <w:tab w:val="left" w:pos="708"/>
        </w:tabs>
        <w:jc w:val="both"/>
      </w:pPr>
      <w:r>
        <w:t xml:space="preserve">    </w:t>
      </w:r>
      <w:r w:rsidRPr="007851C1">
        <w:t>- информацию о сертификации (при наличии).</w:t>
      </w:r>
    </w:p>
    <w:p w:rsidR="006A3AD4" w:rsidRPr="007851C1" w:rsidRDefault="006A3AD4" w:rsidP="006A3AD4">
      <w:pPr>
        <w:keepNext/>
        <w:tabs>
          <w:tab w:val="left" w:pos="708"/>
        </w:tabs>
        <w:jc w:val="both"/>
      </w:pPr>
      <w:r>
        <w:tab/>
        <w:t xml:space="preserve">2. </w:t>
      </w:r>
      <w:r w:rsidRPr="007851C1">
        <w:t>Впитывающие простыни (пеленки) упаковывают в пакеты из полимерной пленки или пачки по ГОСТ 12303</w:t>
      </w:r>
      <w:r>
        <w:t xml:space="preserve">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w:t>
      </w:r>
      <w:r w:rsidRPr="007851C1">
        <w:t>, или другую тару, обеспечивающую их сохранность при транспортировании и хранении. Швы в пакетах из полимерной пленки должны быть заварены.</w:t>
      </w:r>
    </w:p>
    <w:p w:rsidR="006A3AD4" w:rsidRDefault="006A3AD4" w:rsidP="006A3AD4">
      <w:pPr>
        <w:keepNext/>
        <w:tabs>
          <w:tab w:val="left" w:pos="708"/>
        </w:tabs>
        <w:jc w:val="both"/>
      </w:pPr>
      <w:r>
        <w:tab/>
      </w:r>
      <w:r w:rsidRPr="007851C1">
        <w:t>Транспортирование – по ГОСТ 6658</w:t>
      </w:r>
      <w:r>
        <w:t>-75 Государственный стандарт Союза ССР «Изделия из бумаги и картона. Упаковка, маркировка, транспортирование и хранение»</w:t>
      </w:r>
      <w:r w:rsidRPr="007851C1">
        <w:t xml:space="preserve"> (раздел 3) любым видом крытого транспорта в соответствии с правилами перевозки грузов, действующими на данном виде транспорта. </w:t>
      </w:r>
    </w:p>
    <w:p w:rsidR="006A3AD4" w:rsidRPr="006A3AD4" w:rsidRDefault="006A3AD4" w:rsidP="006A3AD4">
      <w:pPr>
        <w:keepNext/>
        <w:keepLines/>
        <w:suppressLineNumbers/>
        <w:ind w:left="72"/>
        <w:jc w:val="center"/>
        <w:rPr>
          <w:b/>
        </w:rPr>
      </w:pPr>
      <w:r w:rsidRPr="006A3AD4">
        <w:rPr>
          <w:b/>
        </w:rPr>
        <w:t>3. Требования к документам, подтверждающим соответствие абсорбирующего белья установленным требованиям:</w:t>
      </w:r>
    </w:p>
    <w:p w:rsidR="006A3AD4" w:rsidRPr="00A47EE5" w:rsidRDefault="006A3AD4" w:rsidP="006A3AD4">
      <w:pPr>
        <w:keepNext/>
        <w:tabs>
          <w:tab w:val="left" w:pos="708"/>
        </w:tabs>
        <w:jc w:val="both"/>
      </w:pPr>
      <w:r>
        <w:t xml:space="preserve">        1. </w:t>
      </w:r>
      <w:r w:rsidRPr="00A47EE5">
        <w:t>Впитывающие простыни (пеленки)</w:t>
      </w:r>
      <w:r w:rsidRPr="006A3AD4">
        <w:rPr>
          <w:b/>
        </w:rPr>
        <w:t xml:space="preserve"> </w:t>
      </w:r>
      <w:r w:rsidRPr="00A47EE5">
        <w:t xml:space="preserve">должны соответствовать требованиям стандартов серии ГОСТ Р </w:t>
      </w:r>
      <w:r>
        <w:t>ИСО</w:t>
      </w:r>
      <w:r w:rsidRPr="00A47EE5">
        <w:t xml:space="preserve"> 10933 «Оценка биологическог</w:t>
      </w:r>
      <w:r>
        <w:t>о действия медицинских изделий».</w:t>
      </w:r>
    </w:p>
    <w:p w:rsidR="006A3AD4" w:rsidRDefault="006A3AD4" w:rsidP="006A3AD4">
      <w:pPr>
        <w:keepNext/>
        <w:tabs>
          <w:tab w:val="left" w:pos="708"/>
        </w:tabs>
        <w:jc w:val="both"/>
      </w:pPr>
      <w:r>
        <w:t xml:space="preserve">       </w:t>
      </w:r>
      <w:r w:rsidRPr="00A47EE5">
        <w:t xml:space="preserve">Наличие регистрационного удостоверения на впитывающие простыни (пеленки) обязательно. </w:t>
      </w:r>
    </w:p>
    <w:p w:rsidR="006A3AD4" w:rsidRDefault="006A3AD4" w:rsidP="006A3AD4">
      <w:pPr>
        <w:pStyle w:val="af2"/>
        <w:keepNext/>
        <w:keepLines/>
        <w:suppressLineNumbers/>
        <w:ind w:left="432"/>
        <w:jc w:val="both"/>
      </w:pPr>
      <w:r>
        <w:t>2.</w:t>
      </w:r>
      <w:r w:rsidRPr="00C94EEC">
        <w:t xml:space="preserve"> Все вышеуказанные документы должны быт</w:t>
      </w:r>
      <w:r>
        <w:t>ь представлены на русском языке.</w:t>
      </w:r>
    </w:p>
    <w:p w:rsidR="006A3AD4" w:rsidRDefault="006A3AD4" w:rsidP="006A3AD4">
      <w:pPr>
        <w:ind w:left="72"/>
        <w:jc w:val="both"/>
      </w:pPr>
      <w:r>
        <w:t xml:space="preserve"> Абсорбирующее белье (пеленки) должны соответствовать требованиям ГОСТ:</w:t>
      </w:r>
    </w:p>
    <w:p w:rsidR="006A3AD4" w:rsidRDefault="006A3AD4" w:rsidP="006A3AD4">
      <w:pPr>
        <w:jc w:val="both"/>
      </w:pPr>
      <w:r>
        <w:t xml:space="preserve">        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 Межгосударственный стандарт «Изделия медицинские. Оценка </w:t>
      </w:r>
      <w:r>
        <w:lastRenderedPageBreak/>
        <w:t xml:space="preserve">биологического действия медицинских изделий. Часть5. Исследования на цитотоксичность: методы </w:t>
      </w:r>
      <w:r w:rsidRPr="006A3AD4">
        <w:rPr>
          <w:lang w:val="en-US"/>
        </w:rPr>
        <w:t>in</w:t>
      </w:r>
      <w:r w:rsidRPr="00D86220">
        <w:t xml:space="preserve"> </w:t>
      </w:r>
      <w:r w:rsidRPr="006A3AD4">
        <w:rPr>
          <w:lang w:val="en-US"/>
        </w:rPr>
        <w:t>vitro</w:t>
      </w:r>
      <w:r>
        <w:t>»,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Р 55082-2012 Национальный стандарт РФ «Изделия бумажные медицинского назначения. Подгузники для взрослых. Общие технические условия», ГОСТ Р 52354-2005 Национальный стандарт РФ «Изделия из бумаги бытового и санитарно-гигиенического назначения. Общие технические условия».</w:t>
      </w:r>
    </w:p>
    <w:p w:rsidR="001E3A27" w:rsidRPr="00ED0236" w:rsidRDefault="001E3A27" w:rsidP="006A3AD4">
      <w:pPr>
        <w:pStyle w:val="af2"/>
        <w:keepNext/>
        <w:numPr>
          <w:ilvl w:val="0"/>
          <w:numId w:val="15"/>
        </w:numPr>
        <w:spacing w:line="240" w:lineRule="auto"/>
        <w:jc w:val="center"/>
        <w:rPr>
          <w:b/>
        </w:rPr>
      </w:pPr>
      <w:r w:rsidRPr="00ED0236">
        <w:rPr>
          <w:b/>
        </w:rPr>
        <w:t xml:space="preserve">Требования к месту, условиям и срокам (периодам) </w:t>
      </w:r>
      <w:r w:rsidR="00A34F9B">
        <w:rPr>
          <w:b/>
        </w:rPr>
        <w:t>поставки абсорбирующего белья (пеленок)</w:t>
      </w:r>
      <w:r w:rsidR="00ED0236">
        <w:rPr>
          <w:b/>
        </w:rPr>
        <w:t>.</w:t>
      </w:r>
    </w:p>
    <w:p w:rsidR="001E3A27" w:rsidRPr="005D1E27" w:rsidRDefault="001E3A27" w:rsidP="006A3AD4">
      <w:pPr>
        <w:ind w:firstLine="567"/>
        <w:jc w:val="both"/>
      </w:pPr>
      <w:r w:rsidRPr="005D1E27">
        <w:t>П</w:t>
      </w:r>
      <w:r w:rsidR="006A3AD4">
        <w:t>оставка абсорбирующего белья (пеленок)</w:t>
      </w:r>
      <w:r w:rsidR="00ED0236">
        <w:t xml:space="preserve"> </w:t>
      </w:r>
      <w:r w:rsidRPr="005D1E27">
        <w:t>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1E3A27" w:rsidRPr="005D1E27" w:rsidRDefault="001E3A27" w:rsidP="006A3AD4">
      <w:pPr>
        <w:ind w:firstLine="567"/>
        <w:jc w:val="both"/>
      </w:pPr>
      <w:r w:rsidRPr="005D1E27">
        <w:t>Срок поставки – Поставка в Республику Мор</w:t>
      </w:r>
      <w:r>
        <w:t>довия в течение 5 (Пяти) рабочих</w:t>
      </w:r>
      <w:r w:rsidRPr="005D1E27">
        <w:t xml:space="preserve"> дней с даты заключения Государственного контракта.</w:t>
      </w:r>
    </w:p>
    <w:p w:rsidR="001E3A27" w:rsidRDefault="001E3A27" w:rsidP="006A3AD4">
      <w:pPr>
        <w:pStyle w:val="af3"/>
        <w:spacing w:before="0" w:beforeAutospacing="0" w:after="0" w:afterAutospacing="0"/>
        <w:ind w:firstLine="432"/>
        <w:jc w:val="both"/>
      </w:pPr>
      <w:r w:rsidRPr="005760F6">
        <w:t xml:space="preserve">Срок доставки Товара до Получателя </w:t>
      </w:r>
      <w:r>
        <w:t>–</w:t>
      </w:r>
      <w:r w:rsidRPr="005760F6">
        <w:t xml:space="preserve"> </w:t>
      </w:r>
      <w:r>
        <w:t>не должен превышать</w:t>
      </w:r>
      <w:r w:rsidRPr="005760F6">
        <w:t xml:space="preserve"> 30 (тридцати)</w:t>
      </w:r>
      <w:r>
        <w:t xml:space="preserve"> календарных</w:t>
      </w:r>
      <w:r w:rsidRPr="005760F6">
        <w:t xml:space="preserve"> дней с момента получения </w:t>
      </w:r>
      <w:r>
        <w:t>от Получателя Направления, выданного Заказчиком</w:t>
      </w:r>
      <w:r w:rsidRPr="005760F6">
        <w:t>.</w:t>
      </w:r>
    </w:p>
    <w:p w:rsidR="001E3A27" w:rsidRPr="00BC2C7C" w:rsidRDefault="001E3A27" w:rsidP="006A3AD4">
      <w:pPr>
        <w:pStyle w:val="af3"/>
        <w:spacing w:before="0" w:beforeAutospacing="0" w:after="0" w:afterAutospacing="0"/>
        <w:ind w:firstLine="360"/>
        <w:jc w:val="both"/>
        <w:rPr>
          <w:kern w:val="2"/>
        </w:rPr>
      </w:pPr>
      <w:r>
        <w:rPr>
          <w:kern w:val="2"/>
        </w:rPr>
        <w:t xml:space="preserve">Поставщик принимает на себя обязательства по обеспечению Товаром Получателей </w:t>
      </w:r>
      <w:r w:rsidRPr="005760F6">
        <w:rPr>
          <w:kern w:val="2"/>
        </w:rPr>
        <w:t>до 15 декабря 201</w:t>
      </w:r>
      <w:r>
        <w:rPr>
          <w:kern w:val="2"/>
        </w:rPr>
        <w:t>8</w:t>
      </w:r>
      <w:r w:rsidRPr="005760F6">
        <w:rPr>
          <w:kern w:val="2"/>
        </w:rPr>
        <w:t xml:space="preserve"> года.</w:t>
      </w:r>
    </w:p>
    <w:p w:rsidR="00145A1C" w:rsidRDefault="001F0152" w:rsidP="00ED0236">
      <w:pPr>
        <w:shd w:val="clear" w:color="auto" w:fill="FFFFFF"/>
        <w:autoSpaceDN w:val="0"/>
        <w:ind w:right="132"/>
        <w:jc w:val="center"/>
        <w:rPr>
          <w:rFonts w:eastAsia="Lucida Sans Unicode"/>
          <w:b/>
          <w:color w:val="000000"/>
          <w:kern w:val="2"/>
        </w:rPr>
      </w:pPr>
      <w:r>
        <w:rPr>
          <w:b/>
        </w:rPr>
        <w:t>5.</w:t>
      </w:r>
      <w:r w:rsidR="00145A1C">
        <w:rPr>
          <w:rFonts w:eastAsia="Lucida Sans Unicode"/>
          <w:b/>
          <w:color w:val="000000"/>
          <w:kern w:val="2"/>
        </w:rPr>
        <w:t xml:space="preserve"> Требования к количественным и качественным характеристикам Товара.</w:t>
      </w:r>
    </w:p>
    <w:p w:rsidR="00145A1C" w:rsidRDefault="00FC4316" w:rsidP="00ED0236">
      <w:pPr>
        <w:autoSpaceDN w:val="0"/>
        <w:ind w:firstLine="709"/>
        <w:jc w:val="both"/>
        <w:rPr>
          <w:rFonts w:eastAsia="Lucida Sans Unicode"/>
          <w:color w:val="000000"/>
          <w:kern w:val="2"/>
        </w:rPr>
      </w:pPr>
      <w:r>
        <w:rPr>
          <w:rFonts w:eastAsia="Lucida Sans Unicode"/>
          <w:kern w:val="2"/>
        </w:rPr>
        <w:t>Количество – 200 400</w:t>
      </w:r>
      <w:r w:rsidR="00145A1C" w:rsidRPr="00897FD5">
        <w:rPr>
          <w:bCs/>
        </w:rPr>
        <w:t xml:space="preserve"> (</w:t>
      </w:r>
      <w:r>
        <w:rPr>
          <w:bCs/>
        </w:rPr>
        <w:t>двести тысяч четыреста</w:t>
      </w:r>
      <w:r w:rsidR="00145A1C" w:rsidRPr="00897FD5">
        <w:rPr>
          <w:bCs/>
        </w:rPr>
        <w:t>) штук</w:t>
      </w:r>
      <w:r>
        <w:rPr>
          <w:bCs/>
        </w:rPr>
        <w:t xml:space="preserve"> на 1 999 992,00 (один миллион</w:t>
      </w:r>
      <w:r w:rsidR="002829B1">
        <w:rPr>
          <w:bCs/>
        </w:rPr>
        <w:t xml:space="preserve"> девятьсот девяносто девять тысяч девятьсот девяносто два) рубля</w:t>
      </w:r>
      <w:r w:rsidR="00ED0236">
        <w:rPr>
          <w:bCs/>
        </w:rPr>
        <w:t xml:space="preserve"> 0</w:t>
      </w:r>
      <w:r w:rsidR="00145A1C">
        <w:rPr>
          <w:bCs/>
        </w:rPr>
        <w:t>0 копеек</w:t>
      </w:r>
      <w:r w:rsidR="00145A1C">
        <w:rPr>
          <w:rFonts w:eastAsia="Lucida Sans Unicode"/>
          <w:color w:val="000000"/>
          <w:kern w:val="2"/>
        </w:rPr>
        <w:t>.</w:t>
      </w:r>
    </w:p>
    <w:p w:rsidR="00145A1C" w:rsidRDefault="00145A1C" w:rsidP="00ED0236">
      <w:pPr>
        <w:ind w:firstLine="709"/>
        <w:jc w:val="both"/>
      </w:pPr>
      <w:r>
        <w:t>Наименование Товара, технические и функциональные характеристики, количество и цена указаны в Таблице № 1.</w:t>
      </w:r>
    </w:p>
    <w:p w:rsidR="00145A1C" w:rsidRPr="00BF09C8" w:rsidRDefault="00145A1C" w:rsidP="00ED0236">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CF12E2" w:rsidRPr="00BF09C8" w:rsidRDefault="00CF12E2" w:rsidP="00ED0236">
      <w:pPr>
        <w:pStyle w:val="a3"/>
        <w:widowControl w:val="0"/>
        <w:jc w:val="right"/>
        <w:rPr>
          <w:sz w:val="22"/>
          <w:szCs w:val="22"/>
        </w:rPr>
      </w:pPr>
      <w:r w:rsidRPr="00BF09C8">
        <w:rPr>
          <w:sz w:val="22"/>
          <w:szCs w:val="22"/>
        </w:rPr>
        <w:t>Таблица № 1</w:t>
      </w:r>
    </w:p>
    <w:p w:rsidR="0026130D" w:rsidRDefault="0026130D" w:rsidP="0026130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5364"/>
        <w:gridCol w:w="141"/>
        <w:gridCol w:w="1119"/>
      </w:tblGrid>
      <w:tr w:rsidR="0026130D" w:rsidRPr="005D40A9" w:rsidTr="00FC4316">
        <w:tc>
          <w:tcPr>
            <w:tcW w:w="2844" w:type="dxa"/>
            <w:shd w:val="clear" w:color="auto" w:fill="auto"/>
            <w:vAlign w:val="center"/>
          </w:tcPr>
          <w:p w:rsidR="0026130D" w:rsidRPr="005D40A9" w:rsidRDefault="0026130D" w:rsidP="00FC4316">
            <w:pPr>
              <w:jc w:val="center"/>
              <w:rPr>
                <w:b/>
                <w:sz w:val="20"/>
                <w:szCs w:val="20"/>
              </w:rPr>
            </w:pPr>
            <w:r w:rsidRPr="005D40A9">
              <w:rPr>
                <w:b/>
                <w:sz w:val="20"/>
                <w:szCs w:val="20"/>
              </w:rPr>
              <w:t>Наименование изделия</w:t>
            </w:r>
          </w:p>
        </w:tc>
        <w:tc>
          <w:tcPr>
            <w:tcW w:w="5364" w:type="dxa"/>
            <w:vAlign w:val="center"/>
          </w:tcPr>
          <w:p w:rsidR="0026130D" w:rsidRPr="005D40A9" w:rsidRDefault="0026130D" w:rsidP="00FC4316">
            <w:pPr>
              <w:jc w:val="center"/>
              <w:rPr>
                <w:b/>
                <w:sz w:val="20"/>
                <w:szCs w:val="20"/>
              </w:rPr>
            </w:pPr>
            <w:r>
              <w:rPr>
                <w:b/>
                <w:sz w:val="20"/>
                <w:szCs w:val="20"/>
              </w:rPr>
              <w:t>Количество, шт.</w:t>
            </w:r>
          </w:p>
        </w:tc>
        <w:tc>
          <w:tcPr>
            <w:tcW w:w="1260" w:type="dxa"/>
            <w:gridSpan w:val="2"/>
            <w:shd w:val="clear" w:color="auto" w:fill="auto"/>
            <w:vAlign w:val="center"/>
          </w:tcPr>
          <w:p w:rsidR="0026130D" w:rsidRPr="005D40A9" w:rsidRDefault="0026130D" w:rsidP="00FC4316">
            <w:pPr>
              <w:jc w:val="center"/>
              <w:rPr>
                <w:b/>
                <w:sz w:val="20"/>
                <w:szCs w:val="20"/>
              </w:rPr>
            </w:pPr>
            <w:r w:rsidRPr="005D40A9">
              <w:rPr>
                <w:b/>
                <w:sz w:val="20"/>
                <w:szCs w:val="20"/>
              </w:rPr>
              <w:t>Цена, руб.</w:t>
            </w:r>
          </w:p>
        </w:tc>
      </w:tr>
      <w:tr w:rsidR="0026130D" w:rsidRPr="005D40A9" w:rsidTr="00FC4316">
        <w:trPr>
          <w:trHeight w:val="423"/>
        </w:trPr>
        <w:tc>
          <w:tcPr>
            <w:tcW w:w="9468" w:type="dxa"/>
            <w:gridSpan w:val="4"/>
            <w:vAlign w:val="center"/>
          </w:tcPr>
          <w:p w:rsidR="0026130D" w:rsidRDefault="0026130D" w:rsidP="00FC4316">
            <w:pPr>
              <w:jc w:val="center"/>
              <w:rPr>
                <w:color w:val="000000"/>
                <w:sz w:val="20"/>
                <w:szCs w:val="20"/>
              </w:rPr>
            </w:pPr>
            <w:r>
              <w:rPr>
                <w:color w:val="000000"/>
                <w:sz w:val="20"/>
                <w:szCs w:val="20"/>
              </w:rPr>
              <w:t>Впитывающие простыни (пеленки) размером не менее 60 x 90 см (впитываемостью от 1200 до 1900 мл)</w:t>
            </w:r>
          </w:p>
          <w:p w:rsidR="0026130D" w:rsidRPr="005D40A9" w:rsidRDefault="0026130D" w:rsidP="00FC4316">
            <w:pPr>
              <w:jc w:val="center"/>
              <w:rPr>
                <w:b/>
                <w:bCs/>
                <w:sz w:val="20"/>
                <w:szCs w:val="20"/>
              </w:rPr>
            </w:pPr>
          </w:p>
        </w:tc>
      </w:tr>
      <w:tr w:rsidR="0026130D" w:rsidRPr="005D40A9" w:rsidTr="00FC4316">
        <w:trPr>
          <w:trHeight w:val="1889"/>
        </w:trPr>
        <w:tc>
          <w:tcPr>
            <w:tcW w:w="2844" w:type="dxa"/>
            <w:shd w:val="clear" w:color="auto" w:fill="auto"/>
          </w:tcPr>
          <w:p w:rsidR="0026130D" w:rsidRPr="005E50E3" w:rsidRDefault="0026130D" w:rsidP="00FC4316">
            <w:pPr>
              <w:jc w:val="center"/>
              <w:rPr>
                <w:color w:val="000000"/>
                <w:sz w:val="26"/>
                <w:szCs w:val="26"/>
              </w:rPr>
            </w:pPr>
            <w:r w:rsidRPr="005E50E3">
              <w:rPr>
                <w:color w:val="000000"/>
                <w:sz w:val="26"/>
                <w:szCs w:val="26"/>
              </w:rPr>
              <w:t>Впитывающие простыни (пеленки) размером не менее 60 x 90 см (впитываемостью от 1200 до 1900 мл)</w:t>
            </w:r>
          </w:p>
          <w:p w:rsidR="0026130D" w:rsidRPr="00A06033" w:rsidRDefault="0026130D" w:rsidP="00FC4316">
            <w:pPr>
              <w:rPr>
                <w:sz w:val="20"/>
                <w:szCs w:val="20"/>
                <w:lang w:eastAsia="en-US"/>
              </w:rPr>
            </w:pPr>
          </w:p>
          <w:p w:rsidR="0026130D" w:rsidRPr="00B15F7E" w:rsidRDefault="0026130D" w:rsidP="00FC4316">
            <w:pPr>
              <w:jc w:val="center"/>
              <w:rPr>
                <w:sz w:val="20"/>
                <w:szCs w:val="20"/>
                <w:lang w:eastAsia="en-US"/>
              </w:rPr>
            </w:pPr>
          </w:p>
        </w:tc>
        <w:tc>
          <w:tcPr>
            <w:tcW w:w="5505" w:type="dxa"/>
            <w:gridSpan w:val="2"/>
          </w:tcPr>
          <w:p w:rsidR="0026130D" w:rsidRPr="005E50E3" w:rsidRDefault="0026130D" w:rsidP="00FC4316">
            <w:pPr>
              <w:jc w:val="center"/>
              <w:rPr>
                <w:b/>
                <w:bCs/>
              </w:rPr>
            </w:pPr>
          </w:p>
          <w:p w:rsidR="0026130D" w:rsidRPr="005E50E3" w:rsidRDefault="0026130D" w:rsidP="00FC4316">
            <w:pPr>
              <w:jc w:val="center"/>
              <w:rPr>
                <w:b/>
                <w:bCs/>
              </w:rPr>
            </w:pPr>
          </w:p>
          <w:p w:rsidR="0026130D" w:rsidRPr="005E50E3" w:rsidRDefault="0026130D" w:rsidP="00FC4316">
            <w:pPr>
              <w:jc w:val="center"/>
              <w:rPr>
                <w:b/>
                <w:bCs/>
              </w:rPr>
            </w:pPr>
          </w:p>
          <w:p w:rsidR="0026130D" w:rsidRPr="005E50E3" w:rsidRDefault="0026130D" w:rsidP="00FC4316">
            <w:pPr>
              <w:jc w:val="center"/>
              <w:rPr>
                <w:b/>
                <w:bCs/>
              </w:rPr>
            </w:pPr>
          </w:p>
          <w:p w:rsidR="0026130D" w:rsidRPr="005E50E3" w:rsidRDefault="002829B1" w:rsidP="00FC4316">
            <w:pPr>
              <w:jc w:val="center"/>
              <w:rPr>
                <w:b/>
                <w:bCs/>
              </w:rPr>
            </w:pPr>
            <w:r>
              <w:rPr>
                <w:b/>
                <w:bCs/>
              </w:rPr>
              <w:t>200 400</w:t>
            </w:r>
          </w:p>
          <w:p w:rsidR="0026130D" w:rsidRPr="005E50E3" w:rsidRDefault="0026130D" w:rsidP="00FC4316">
            <w:pPr>
              <w:jc w:val="center"/>
              <w:rPr>
                <w:b/>
                <w:bCs/>
              </w:rPr>
            </w:pPr>
          </w:p>
        </w:tc>
        <w:tc>
          <w:tcPr>
            <w:tcW w:w="1119" w:type="dxa"/>
            <w:shd w:val="clear" w:color="auto" w:fill="auto"/>
          </w:tcPr>
          <w:p w:rsidR="0026130D" w:rsidRPr="005E50E3" w:rsidRDefault="0026130D" w:rsidP="00FC4316">
            <w:pPr>
              <w:jc w:val="center"/>
              <w:rPr>
                <w:b/>
                <w:bCs/>
              </w:rPr>
            </w:pPr>
          </w:p>
          <w:p w:rsidR="0026130D" w:rsidRPr="005E50E3" w:rsidRDefault="0026130D" w:rsidP="00FC4316">
            <w:pPr>
              <w:jc w:val="center"/>
              <w:rPr>
                <w:b/>
                <w:bCs/>
              </w:rPr>
            </w:pPr>
          </w:p>
          <w:p w:rsidR="0026130D" w:rsidRPr="005E50E3" w:rsidRDefault="0026130D" w:rsidP="00FC4316">
            <w:pPr>
              <w:jc w:val="center"/>
              <w:rPr>
                <w:b/>
                <w:bCs/>
              </w:rPr>
            </w:pPr>
          </w:p>
          <w:p w:rsidR="0026130D" w:rsidRPr="005E50E3" w:rsidRDefault="0026130D" w:rsidP="00FC4316">
            <w:pPr>
              <w:jc w:val="center"/>
              <w:rPr>
                <w:b/>
                <w:bCs/>
              </w:rPr>
            </w:pPr>
          </w:p>
          <w:p w:rsidR="0026130D" w:rsidRPr="005E50E3" w:rsidRDefault="0026130D" w:rsidP="00FC4316">
            <w:pPr>
              <w:jc w:val="center"/>
              <w:rPr>
                <w:b/>
                <w:bCs/>
              </w:rPr>
            </w:pPr>
            <w:r w:rsidRPr="005E50E3">
              <w:rPr>
                <w:b/>
                <w:bCs/>
              </w:rPr>
              <w:t>9,98</w:t>
            </w:r>
          </w:p>
          <w:p w:rsidR="0026130D" w:rsidRPr="005E50E3" w:rsidRDefault="0026130D" w:rsidP="00FC4316">
            <w:pPr>
              <w:jc w:val="center"/>
              <w:rPr>
                <w:b/>
                <w:bCs/>
              </w:rPr>
            </w:pPr>
          </w:p>
          <w:p w:rsidR="0026130D" w:rsidRPr="005E50E3" w:rsidRDefault="0026130D" w:rsidP="00FC4316">
            <w:pPr>
              <w:jc w:val="center"/>
              <w:rPr>
                <w:b/>
                <w:bCs/>
              </w:rPr>
            </w:pPr>
          </w:p>
          <w:p w:rsidR="0026130D" w:rsidRPr="005E50E3" w:rsidRDefault="0026130D" w:rsidP="00FC4316">
            <w:pPr>
              <w:jc w:val="center"/>
              <w:rPr>
                <w:b/>
                <w:bCs/>
              </w:rPr>
            </w:pPr>
          </w:p>
          <w:p w:rsidR="0026130D" w:rsidRPr="005E50E3" w:rsidRDefault="0026130D" w:rsidP="00FC4316">
            <w:pPr>
              <w:jc w:val="center"/>
              <w:rPr>
                <w:b/>
                <w:bCs/>
              </w:rPr>
            </w:pPr>
          </w:p>
          <w:p w:rsidR="0026130D" w:rsidRPr="005E50E3" w:rsidRDefault="0026130D" w:rsidP="00FC4316">
            <w:pPr>
              <w:jc w:val="center"/>
              <w:rPr>
                <w:b/>
                <w:bCs/>
              </w:rPr>
            </w:pPr>
          </w:p>
        </w:tc>
      </w:tr>
    </w:tbl>
    <w:p w:rsidR="00CF12E2" w:rsidRDefault="00CF12E2" w:rsidP="00CF12E2">
      <w:pPr>
        <w:jc w:val="center"/>
        <w:rPr>
          <w:b/>
          <w:sz w:val="28"/>
          <w:szCs w:val="28"/>
        </w:rPr>
      </w:pPr>
    </w:p>
    <w:p w:rsidR="00CF12E2" w:rsidRDefault="00CF12E2" w:rsidP="00CF12E2">
      <w:pPr>
        <w:jc w:val="center"/>
        <w:rPr>
          <w:b/>
          <w:sz w:val="28"/>
          <w:szCs w:val="28"/>
        </w:rPr>
      </w:pPr>
    </w:p>
    <w:p w:rsidR="00A719AC" w:rsidRDefault="00A719AC" w:rsidP="00A719AC">
      <w:pPr>
        <w:pStyle w:val="a3"/>
        <w:widowControl w:val="0"/>
        <w:jc w:val="center"/>
        <w:rPr>
          <w:b/>
        </w:rPr>
      </w:pPr>
    </w:p>
    <w:p w:rsidR="0026130D" w:rsidRDefault="0026130D" w:rsidP="00A719AC">
      <w:pPr>
        <w:pStyle w:val="a3"/>
        <w:widowControl w:val="0"/>
        <w:jc w:val="center"/>
        <w:rPr>
          <w:b/>
        </w:rPr>
      </w:pPr>
    </w:p>
    <w:p w:rsidR="0026130D" w:rsidRDefault="0026130D" w:rsidP="00A719AC">
      <w:pPr>
        <w:pStyle w:val="a3"/>
        <w:widowControl w:val="0"/>
        <w:jc w:val="center"/>
        <w:rPr>
          <w:b/>
        </w:rPr>
      </w:pPr>
    </w:p>
    <w:p w:rsidR="0026130D" w:rsidRDefault="0026130D" w:rsidP="00A719AC">
      <w:pPr>
        <w:pStyle w:val="a3"/>
        <w:widowControl w:val="0"/>
        <w:jc w:val="center"/>
        <w:rPr>
          <w:b/>
        </w:rPr>
      </w:pPr>
    </w:p>
    <w:p w:rsidR="0026130D" w:rsidRDefault="0026130D" w:rsidP="00A719AC">
      <w:pPr>
        <w:pStyle w:val="a3"/>
        <w:widowControl w:val="0"/>
        <w:jc w:val="center"/>
        <w:rPr>
          <w:b/>
        </w:rPr>
      </w:pPr>
    </w:p>
    <w:tbl>
      <w:tblPr>
        <w:tblW w:w="15276" w:type="dxa"/>
        <w:tblLayout w:type="fixed"/>
        <w:tblLook w:val="04A0" w:firstRow="1" w:lastRow="0" w:firstColumn="1" w:lastColumn="0" w:noHBand="0" w:noVBand="1"/>
      </w:tblPr>
      <w:tblGrid>
        <w:gridCol w:w="594"/>
        <w:gridCol w:w="3413"/>
        <w:gridCol w:w="1202"/>
        <w:gridCol w:w="1722"/>
        <w:gridCol w:w="978"/>
        <w:gridCol w:w="1220"/>
        <w:gridCol w:w="1343"/>
        <w:gridCol w:w="1260"/>
        <w:gridCol w:w="1840"/>
        <w:gridCol w:w="1230"/>
        <w:gridCol w:w="474"/>
      </w:tblGrid>
      <w:tr w:rsidR="00C126F6" w:rsidTr="003C2903">
        <w:trPr>
          <w:trHeight w:val="300"/>
        </w:trPr>
        <w:tc>
          <w:tcPr>
            <w:tcW w:w="594" w:type="dxa"/>
            <w:tcBorders>
              <w:top w:val="nil"/>
              <w:left w:val="nil"/>
              <w:bottom w:val="nil"/>
              <w:right w:val="nil"/>
            </w:tcBorders>
            <w:shd w:val="clear" w:color="auto" w:fill="auto"/>
            <w:noWrap/>
            <w:vAlign w:val="bottom"/>
            <w:hideMark/>
          </w:tcPr>
          <w:p w:rsidR="00C126F6" w:rsidRDefault="00C126F6" w:rsidP="003C2903"/>
        </w:tc>
        <w:tc>
          <w:tcPr>
            <w:tcW w:w="3413" w:type="dxa"/>
            <w:tcBorders>
              <w:top w:val="nil"/>
              <w:left w:val="nil"/>
              <w:bottom w:val="nil"/>
              <w:right w:val="nil"/>
            </w:tcBorders>
            <w:shd w:val="clear" w:color="auto" w:fill="auto"/>
            <w:noWrap/>
            <w:vAlign w:val="bottom"/>
            <w:hideMark/>
          </w:tcPr>
          <w:p w:rsidR="003410D4" w:rsidRDefault="003410D4" w:rsidP="003C2903">
            <w:pPr>
              <w:rPr>
                <w:sz w:val="28"/>
                <w:szCs w:val="28"/>
              </w:rPr>
            </w:pPr>
          </w:p>
        </w:tc>
        <w:tc>
          <w:tcPr>
            <w:tcW w:w="1202" w:type="dxa"/>
            <w:tcBorders>
              <w:top w:val="nil"/>
              <w:left w:val="nil"/>
              <w:bottom w:val="nil"/>
              <w:right w:val="nil"/>
            </w:tcBorders>
            <w:shd w:val="clear" w:color="auto" w:fill="auto"/>
            <w:vAlign w:val="bottom"/>
            <w:hideMark/>
          </w:tcPr>
          <w:p w:rsidR="00C126F6" w:rsidRDefault="00C126F6" w:rsidP="003C2903"/>
          <w:p w:rsidR="00CF12E2" w:rsidRDefault="00CF12E2" w:rsidP="003C2903"/>
        </w:tc>
        <w:tc>
          <w:tcPr>
            <w:tcW w:w="1722" w:type="dxa"/>
            <w:tcBorders>
              <w:top w:val="nil"/>
              <w:left w:val="nil"/>
              <w:bottom w:val="nil"/>
              <w:right w:val="nil"/>
            </w:tcBorders>
            <w:shd w:val="clear" w:color="auto" w:fill="auto"/>
            <w:vAlign w:val="bottom"/>
            <w:hideMark/>
          </w:tcPr>
          <w:p w:rsidR="00C126F6" w:rsidRDefault="00C126F6" w:rsidP="003C2903"/>
        </w:tc>
        <w:tc>
          <w:tcPr>
            <w:tcW w:w="978" w:type="dxa"/>
            <w:tcBorders>
              <w:top w:val="nil"/>
              <w:left w:val="nil"/>
              <w:bottom w:val="nil"/>
              <w:right w:val="nil"/>
            </w:tcBorders>
            <w:shd w:val="clear" w:color="auto" w:fill="auto"/>
            <w:vAlign w:val="bottom"/>
            <w:hideMark/>
          </w:tcPr>
          <w:p w:rsidR="00C126F6" w:rsidRDefault="00C126F6" w:rsidP="003C2903"/>
        </w:tc>
        <w:tc>
          <w:tcPr>
            <w:tcW w:w="1220" w:type="dxa"/>
            <w:tcBorders>
              <w:top w:val="nil"/>
              <w:left w:val="nil"/>
              <w:bottom w:val="nil"/>
              <w:right w:val="nil"/>
            </w:tcBorders>
            <w:shd w:val="clear" w:color="auto" w:fill="auto"/>
            <w:noWrap/>
            <w:vAlign w:val="center"/>
            <w:hideMark/>
          </w:tcPr>
          <w:p w:rsidR="00C126F6" w:rsidRDefault="00C126F6" w:rsidP="003C2903">
            <w:pPr>
              <w:jc w:val="center"/>
              <w:rPr>
                <w:sz w:val="20"/>
                <w:szCs w:val="20"/>
              </w:rPr>
            </w:pPr>
          </w:p>
        </w:tc>
        <w:tc>
          <w:tcPr>
            <w:tcW w:w="1343" w:type="dxa"/>
            <w:tcBorders>
              <w:top w:val="nil"/>
              <w:left w:val="nil"/>
              <w:bottom w:val="nil"/>
              <w:right w:val="nil"/>
            </w:tcBorders>
            <w:shd w:val="clear" w:color="auto" w:fill="auto"/>
            <w:vAlign w:val="bottom"/>
            <w:hideMark/>
          </w:tcPr>
          <w:p w:rsidR="00C126F6" w:rsidRDefault="00C126F6" w:rsidP="003C2903"/>
        </w:tc>
        <w:tc>
          <w:tcPr>
            <w:tcW w:w="1260" w:type="dxa"/>
            <w:tcBorders>
              <w:top w:val="nil"/>
              <w:left w:val="nil"/>
              <w:bottom w:val="nil"/>
              <w:right w:val="nil"/>
            </w:tcBorders>
            <w:shd w:val="clear" w:color="auto" w:fill="auto"/>
            <w:vAlign w:val="bottom"/>
            <w:hideMark/>
          </w:tcPr>
          <w:p w:rsidR="00C126F6" w:rsidRDefault="00C126F6" w:rsidP="003C2903"/>
        </w:tc>
        <w:tc>
          <w:tcPr>
            <w:tcW w:w="1840" w:type="dxa"/>
            <w:tcBorders>
              <w:top w:val="nil"/>
              <w:left w:val="nil"/>
              <w:bottom w:val="nil"/>
              <w:right w:val="nil"/>
            </w:tcBorders>
            <w:shd w:val="clear" w:color="auto" w:fill="auto"/>
            <w:vAlign w:val="bottom"/>
            <w:hideMark/>
          </w:tcPr>
          <w:p w:rsidR="00C126F6" w:rsidRDefault="00C126F6" w:rsidP="003C2903"/>
        </w:tc>
        <w:tc>
          <w:tcPr>
            <w:tcW w:w="1230" w:type="dxa"/>
            <w:tcBorders>
              <w:top w:val="nil"/>
              <w:left w:val="nil"/>
              <w:bottom w:val="nil"/>
              <w:right w:val="nil"/>
            </w:tcBorders>
            <w:shd w:val="clear" w:color="auto" w:fill="auto"/>
            <w:vAlign w:val="bottom"/>
            <w:hideMark/>
          </w:tcPr>
          <w:p w:rsidR="00C126F6" w:rsidRDefault="00C126F6" w:rsidP="003C2903"/>
        </w:tc>
        <w:tc>
          <w:tcPr>
            <w:tcW w:w="474" w:type="dxa"/>
            <w:tcBorders>
              <w:top w:val="nil"/>
              <w:left w:val="nil"/>
              <w:bottom w:val="nil"/>
              <w:right w:val="nil"/>
            </w:tcBorders>
            <w:shd w:val="clear" w:color="auto" w:fill="auto"/>
            <w:vAlign w:val="bottom"/>
            <w:hideMark/>
          </w:tcPr>
          <w:p w:rsidR="00C126F6" w:rsidRDefault="00C126F6" w:rsidP="003C2903"/>
        </w:tc>
      </w:tr>
    </w:tbl>
    <w:p w:rsidR="007906B6" w:rsidRDefault="007906B6" w:rsidP="001B0783">
      <w:pPr>
        <w:pStyle w:val="1"/>
        <w:spacing w:before="0" w:after="0"/>
        <w:rPr>
          <w:sz w:val="24"/>
          <w:szCs w:val="24"/>
          <w:lang w:bidi="ru-RU"/>
        </w:rPr>
      </w:pPr>
      <w:bookmarkStart w:id="0" w:name="_GoBack"/>
      <w:bookmarkEnd w:id="0"/>
    </w:p>
    <w:sectPr w:rsidR="007906B6" w:rsidSect="003410D4">
      <w:footerReference w:type="default" r:id="rId8"/>
      <w:footnotePr>
        <w:pos w:val="beneathText"/>
      </w:footnotePr>
      <w:pgSz w:w="11906" w:h="16838"/>
      <w:pgMar w:top="709" w:right="851" w:bottom="720" w:left="1418" w:header="720" w:footer="720" w:gutter="0"/>
      <w:cols w:space="720"/>
      <w:docGrid w:linePitch="299"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16" w:rsidRDefault="00FC4316" w:rsidP="005D28D2">
      <w:r>
        <w:separator/>
      </w:r>
    </w:p>
  </w:endnote>
  <w:endnote w:type="continuationSeparator" w:id="0">
    <w:p w:rsidR="00FC4316" w:rsidRDefault="00FC4316" w:rsidP="005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16" w:rsidRPr="00342748" w:rsidRDefault="00FC4316" w:rsidP="003C29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16" w:rsidRDefault="00FC4316" w:rsidP="005D28D2">
      <w:r>
        <w:separator/>
      </w:r>
    </w:p>
  </w:footnote>
  <w:footnote w:type="continuationSeparator" w:id="0">
    <w:p w:rsidR="00FC4316" w:rsidRDefault="00FC4316" w:rsidP="005D2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35FA"/>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394FCD"/>
    <w:multiLevelType w:val="hybridMultilevel"/>
    <w:tmpl w:val="201AD582"/>
    <w:lvl w:ilvl="0" w:tplc="57F6F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4827D1"/>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nsid w:val="16322A71"/>
    <w:multiLevelType w:val="multilevel"/>
    <w:tmpl w:val="8AEE51C0"/>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27412EEB"/>
    <w:multiLevelType w:val="hybridMultilevel"/>
    <w:tmpl w:val="BE3EF1B2"/>
    <w:lvl w:ilvl="0" w:tplc="0E96F80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8480005"/>
    <w:multiLevelType w:val="hybridMultilevel"/>
    <w:tmpl w:val="FAA07636"/>
    <w:lvl w:ilvl="0" w:tplc="A6243DD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6">
    <w:nsid w:val="32A810DD"/>
    <w:multiLevelType w:val="hybridMultilevel"/>
    <w:tmpl w:val="38DE238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B3D9D"/>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7DE7B56"/>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9">
    <w:nsid w:val="40BF1C8C"/>
    <w:multiLevelType w:val="hybridMultilevel"/>
    <w:tmpl w:val="DE589774"/>
    <w:lvl w:ilvl="0" w:tplc="9E861D5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FE602C"/>
    <w:multiLevelType w:val="hybridMultilevel"/>
    <w:tmpl w:val="A1F82DA8"/>
    <w:lvl w:ilvl="0" w:tplc="2094151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A5E4184"/>
    <w:multiLevelType w:val="hybridMultilevel"/>
    <w:tmpl w:val="A3768BF4"/>
    <w:lvl w:ilvl="0" w:tplc="DFAA39E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2">
    <w:nsid w:val="596A1005"/>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3">
    <w:nsid w:val="5C543B32"/>
    <w:multiLevelType w:val="hybridMultilevel"/>
    <w:tmpl w:val="DBACF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951CCF"/>
    <w:multiLevelType w:val="hybridMultilevel"/>
    <w:tmpl w:val="208AA1CC"/>
    <w:lvl w:ilvl="0" w:tplc="33A8048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nsid w:val="68C476A6"/>
    <w:multiLevelType w:val="hybridMultilevel"/>
    <w:tmpl w:val="AA96BAFE"/>
    <w:lvl w:ilvl="0" w:tplc="459CCCB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6">
    <w:nsid w:val="7D684952"/>
    <w:multiLevelType w:val="hybridMultilevel"/>
    <w:tmpl w:val="42C85298"/>
    <w:lvl w:ilvl="0" w:tplc="31BA05F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3"/>
  </w:num>
  <w:num w:numId="2">
    <w:abstractNumId w:val="4"/>
  </w:num>
  <w:num w:numId="3">
    <w:abstractNumId w:val="10"/>
  </w:num>
  <w:num w:numId="4">
    <w:abstractNumId w:val="13"/>
  </w:num>
  <w:num w:numId="5">
    <w:abstractNumId w:val="11"/>
  </w:num>
  <w:num w:numId="6">
    <w:abstractNumId w:val="1"/>
  </w:num>
  <w:num w:numId="7">
    <w:abstractNumId w:val="5"/>
  </w:num>
  <w:num w:numId="8">
    <w:abstractNumId w:val="16"/>
  </w:num>
  <w:num w:numId="9">
    <w:abstractNumId w:val="15"/>
  </w:num>
  <w:num w:numId="10">
    <w:abstractNumId w:val="0"/>
  </w:num>
  <w:num w:numId="11">
    <w:abstractNumId w:val="7"/>
  </w:num>
  <w:num w:numId="12">
    <w:abstractNumId w:val="9"/>
  </w:num>
  <w:num w:numId="13">
    <w:abstractNumId w:val="14"/>
  </w:num>
  <w:num w:numId="14">
    <w:abstractNumId w:val="6"/>
  </w:num>
  <w:num w:numId="15">
    <w:abstractNumId w:val="12"/>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E8"/>
    <w:rsid w:val="00000D09"/>
    <w:rsid w:val="00015C41"/>
    <w:rsid w:val="000175A4"/>
    <w:rsid w:val="00017842"/>
    <w:rsid w:val="0002587D"/>
    <w:rsid w:val="00030A89"/>
    <w:rsid w:val="00050735"/>
    <w:rsid w:val="00050BD2"/>
    <w:rsid w:val="00050E48"/>
    <w:rsid w:val="00054BD4"/>
    <w:rsid w:val="00065EE2"/>
    <w:rsid w:val="00082BC6"/>
    <w:rsid w:val="00093D96"/>
    <w:rsid w:val="00096C0E"/>
    <w:rsid w:val="000A2EA5"/>
    <w:rsid w:val="000B593C"/>
    <w:rsid w:val="000C166E"/>
    <w:rsid w:val="000D00F9"/>
    <w:rsid w:val="000D378D"/>
    <w:rsid w:val="000E1576"/>
    <w:rsid w:val="000E3C3A"/>
    <w:rsid w:val="000E788C"/>
    <w:rsid w:val="000F0643"/>
    <w:rsid w:val="0010164E"/>
    <w:rsid w:val="0011666C"/>
    <w:rsid w:val="00120ED2"/>
    <w:rsid w:val="00133043"/>
    <w:rsid w:val="00145A1C"/>
    <w:rsid w:val="00152458"/>
    <w:rsid w:val="00154178"/>
    <w:rsid w:val="00167798"/>
    <w:rsid w:val="00172909"/>
    <w:rsid w:val="00172F6B"/>
    <w:rsid w:val="0017589D"/>
    <w:rsid w:val="00184534"/>
    <w:rsid w:val="00190E15"/>
    <w:rsid w:val="00192483"/>
    <w:rsid w:val="00193419"/>
    <w:rsid w:val="001941E3"/>
    <w:rsid w:val="001A38FC"/>
    <w:rsid w:val="001B0783"/>
    <w:rsid w:val="001B4B38"/>
    <w:rsid w:val="001C2B18"/>
    <w:rsid w:val="001D5414"/>
    <w:rsid w:val="001E3A27"/>
    <w:rsid w:val="001E7C69"/>
    <w:rsid w:val="001F0152"/>
    <w:rsid w:val="001F5848"/>
    <w:rsid w:val="00200F92"/>
    <w:rsid w:val="00212ADA"/>
    <w:rsid w:val="00222346"/>
    <w:rsid w:val="002257D1"/>
    <w:rsid w:val="0023089C"/>
    <w:rsid w:val="002331CE"/>
    <w:rsid w:val="00237B89"/>
    <w:rsid w:val="00243197"/>
    <w:rsid w:val="0024684C"/>
    <w:rsid w:val="00250FA1"/>
    <w:rsid w:val="00257C9A"/>
    <w:rsid w:val="0026130D"/>
    <w:rsid w:val="00266909"/>
    <w:rsid w:val="002724E7"/>
    <w:rsid w:val="00273117"/>
    <w:rsid w:val="002737B9"/>
    <w:rsid w:val="002810DE"/>
    <w:rsid w:val="002829B1"/>
    <w:rsid w:val="002842CE"/>
    <w:rsid w:val="0028464A"/>
    <w:rsid w:val="002873C1"/>
    <w:rsid w:val="002A0374"/>
    <w:rsid w:val="002A36C9"/>
    <w:rsid w:val="002B7E86"/>
    <w:rsid w:val="002C464D"/>
    <w:rsid w:val="002C54AD"/>
    <w:rsid w:val="002D1127"/>
    <w:rsid w:val="002D26DF"/>
    <w:rsid w:val="002D718A"/>
    <w:rsid w:val="002E5096"/>
    <w:rsid w:val="002F1FFD"/>
    <w:rsid w:val="002F266E"/>
    <w:rsid w:val="002F4AB0"/>
    <w:rsid w:val="0030278E"/>
    <w:rsid w:val="003143F4"/>
    <w:rsid w:val="00330CC1"/>
    <w:rsid w:val="0033590F"/>
    <w:rsid w:val="003410D4"/>
    <w:rsid w:val="00342EE1"/>
    <w:rsid w:val="00347D34"/>
    <w:rsid w:val="00363258"/>
    <w:rsid w:val="0037671D"/>
    <w:rsid w:val="0039428B"/>
    <w:rsid w:val="003A0324"/>
    <w:rsid w:val="003A7927"/>
    <w:rsid w:val="003B11C2"/>
    <w:rsid w:val="003B7B3A"/>
    <w:rsid w:val="003C0DF9"/>
    <w:rsid w:val="003C2562"/>
    <w:rsid w:val="003C2903"/>
    <w:rsid w:val="003D050A"/>
    <w:rsid w:val="003D33F6"/>
    <w:rsid w:val="003D6ECD"/>
    <w:rsid w:val="003D7094"/>
    <w:rsid w:val="003E0EBD"/>
    <w:rsid w:val="003E4C86"/>
    <w:rsid w:val="003F294A"/>
    <w:rsid w:val="004004C8"/>
    <w:rsid w:val="004073E4"/>
    <w:rsid w:val="00411450"/>
    <w:rsid w:val="00411B83"/>
    <w:rsid w:val="00422E6D"/>
    <w:rsid w:val="00427763"/>
    <w:rsid w:val="00432E3D"/>
    <w:rsid w:val="00443BA7"/>
    <w:rsid w:val="0045086B"/>
    <w:rsid w:val="00462F95"/>
    <w:rsid w:val="00481AF0"/>
    <w:rsid w:val="00496881"/>
    <w:rsid w:val="004A0854"/>
    <w:rsid w:val="004B428F"/>
    <w:rsid w:val="004C36DF"/>
    <w:rsid w:val="004C7A22"/>
    <w:rsid w:val="004D1E4D"/>
    <w:rsid w:val="004D639E"/>
    <w:rsid w:val="004E7BF1"/>
    <w:rsid w:val="004F2BFF"/>
    <w:rsid w:val="004F4F6C"/>
    <w:rsid w:val="00502551"/>
    <w:rsid w:val="00521D82"/>
    <w:rsid w:val="005238EE"/>
    <w:rsid w:val="00525DF1"/>
    <w:rsid w:val="00534425"/>
    <w:rsid w:val="00542511"/>
    <w:rsid w:val="00543142"/>
    <w:rsid w:val="00546804"/>
    <w:rsid w:val="005539C2"/>
    <w:rsid w:val="005952A9"/>
    <w:rsid w:val="005A0601"/>
    <w:rsid w:val="005B149E"/>
    <w:rsid w:val="005B17C8"/>
    <w:rsid w:val="005B3807"/>
    <w:rsid w:val="005C08A5"/>
    <w:rsid w:val="005C25E7"/>
    <w:rsid w:val="005D03A9"/>
    <w:rsid w:val="005D28D2"/>
    <w:rsid w:val="005D71F4"/>
    <w:rsid w:val="005E134B"/>
    <w:rsid w:val="005E50E3"/>
    <w:rsid w:val="005F2A3A"/>
    <w:rsid w:val="006113EB"/>
    <w:rsid w:val="00614EC9"/>
    <w:rsid w:val="0061555E"/>
    <w:rsid w:val="00625F4B"/>
    <w:rsid w:val="0064191B"/>
    <w:rsid w:val="00644AA7"/>
    <w:rsid w:val="006542E7"/>
    <w:rsid w:val="0066412D"/>
    <w:rsid w:val="00671D0C"/>
    <w:rsid w:val="00677FFA"/>
    <w:rsid w:val="006818A7"/>
    <w:rsid w:val="0068539E"/>
    <w:rsid w:val="00692342"/>
    <w:rsid w:val="006A31BC"/>
    <w:rsid w:val="006A3352"/>
    <w:rsid w:val="006A3AD4"/>
    <w:rsid w:val="006A6CB7"/>
    <w:rsid w:val="006B2263"/>
    <w:rsid w:val="006B2554"/>
    <w:rsid w:val="006B5B68"/>
    <w:rsid w:val="006B67D6"/>
    <w:rsid w:val="006C433B"/>
    <w:rsid w:val="006C6D36"/>
    <w:rsid w:val="006D1540"/>
    <w:rsid w:val="006D1777"/>
    <w:rsid w:val="006D7A8B"/>
    <w:rsid w:val="006E06FA"/>
    <w:rsid w:val="006E1171"/>
    <w:rsid w:val="006E52CB"/>
    <w:rsid w:val="006E7204"/>
    <w:rsid w:val="00702AA4"/>
    <w:rsid w:val="007126EF"/>
    <w:rsid w:val="0072345B"/>
    <w:rsid w:val="00726767"/>
    <w:rsid w:val="00732546"/>
    <w:rsid w:val="00734B68"/>
    <w:rsid w:val="00747ECF"/>
    <w:rsid w:val="007506E9"/>
    <w:rsid w:val="007551A1"/>
    <w:rsid w:val="00763376"/>
    <w:rsid w:val="00765BA3"/>
    <w:rsid w:val="00773710"/>
    <w:rsid w:val="00782522"/>
    <w:rsid w:val="00782EF0"/>
    <w:rsid w:val="007836EB"/>
    <w:rsid w:val="007906B6"/>
    <w:rsid w:val="007A48CC"/>
    <w:rsid w:val="007A73FF"/>
    <w:rsid w:val="007D53F1"/>
    <w:rsid w:val="007D630B"/>
    <w:rsid w:val="00802E92"/>
    <w:rsid w:val="00825AB3"/>
    <w:rsid w:val="0083192D"/>
    <w:rsid w:val="008419ED"/>
    <w:rsid w:val="00844A5E"/>
    <w:rsid w:val="00847D6A"/>
    <w:rsid w:val="00852074"/>
    <w:rsid w:val="00862DC1"/>
    <w:rsid w:val="00864796"/>
    <w:rsid w:val="0087703E"/>
    <w:rsid w:val="00887598"/>
    <w:rsid w:val="00891B0D"/>
    <w:rsid w:val="00897C56"/>
    <w:rsid w:val="008B15CB"/>
    <w:rsid w:val="008B7D3C"/>
    <w:rsid w:val="008C19EF"/>
    <w:rsid w:val="008C2F7E"/>
    <w:rsid w:val="008C591E"/>
    <w:rsid w:val="008D1C6D"/>
    <w:rsid w:val="008D5B18"/>
    <w:rsid w:val="008E2CE8"/>
    <w:rsid w:val="008E344C"/>
    <w:rsid w:val="008E6C8C"/>
    <w:rsid w:val="008E7E1B"/>
    <w:rsid w:val="008F1FA0"/>
    <w:rsid w:val="0090628B"/>
    <w:rsid w:val="009313C8"/>
    <w:rsid w:val="009322F0"/>
    <w:rsid w:val="0095737A"/>
    <w:rsid w:val="00960C94"/>
    <w:rsid w:val="00966C6E"/>
    <w:rsid w:val="00970012"/>
    <w:rsid w:val="00970D8B"/>
    <w:rsid w:val="00976022"/>
    <w:rsid w:val="00984DB0"/>
    <w:rsid w:val="009944EC"/>
    <w:rsid w:val="009A11CA"/>
    <w:rsid w:val="009A1EF4"/>
    <w:rsid w:val="009B240F"/>
    <w:rsid w:val="009B25C3"/>
    <w:rsid w:val="009C2B35"/>
    <w:rsid w:val="009C756A"/>
    <w:rsid w:val="009C7B2A"/>
    <w:rsid w:val="009D7F6B"/>
    <w:rsid w:val="009E6437"/>
    <w:rsid w:val="009F0E9A"/>
    <w:rsid w:val="009F2F05"/>
    <w:rsid w:val="00A06400"/>
    <w:rsid w:val="00A14A0D"/>
    <w:rsid w:val="00A16032"/>
    <w:rsid w:val="00A24068"/>
    <w:rsid w:val="00A24464"/>
    <w:rsid w:val="00A26525"/>
    <w:rsid w:val="00A328A9"/>
    <w:rsid w:val="00A34B98"/>
    <w:rsid w:val="00A34F9B"/>
    <w:rsid w:val="00A361F4"/>
    <w:rsid w:val="00A53101"/>
    <w:rsid w:val="00A651E3"/>
    <w:rsid w:val="00A7065A"/>
    <w:rsid w:val="00A716CF"/>
    <w:rsid w:val="00A719AC"/>
    <w:rsid w:val="00A746F3"/>
    <w:rsid w:val="00A818F7"/>
    <w:rsid w:val="00A94B54"/>
    <w:rsid w:val="00AA520B"/>
    <w:rsid w:val="00AB6C99"/>
    <w:rsid w:val="00AB6CD1"/>
    <w:rsid w:val="00AC1F2F"/>
    <w:rsid w:val="00AC2875"/>
    <w:rsid w:val="00AC6A82"/>
    <w:rsid w:val="00AF4141"/>
    <w:rsid w:val="00B03076"/>
    <w:rsid w:val="00B06560"/>
    <w:rsid w:val="00B066CD"/>
    <w:rsid w:val="00B06D3F"/>
    <w:rsid w:val="00B1104C"/>
    <w:rsid w:val="00B12953"/>
    <w:rsid w:val="00B144F7"/>
    <w:rsid w:val="00B22A1E"/>
    <w:rsid w:val="00B24F17"/>
    <w:rsid w:val="00B26182"/>
    <w:rsid w:val="00B26286"/>
    <w:rsid w:val="00B26D40"/>
    <w:rsid w:val="00B27F57"/>
    <w:rsid w:val="00B3566B"/>
    <w:rsid w:val="00B35A7E"/>
    <w:rsid w:val="00B3697C"/>
    <w:rsid w:val="00B4067A"/>
    <w:rsid w:val="00B4113E"/>
    <w:rsid w:val="00B41340"/>
    <w:rsid w:val="00B420A8"/>
    <w:rsid w:val="00B476BD"/>
    <w:rsid w:val="00B53D64"/>
    <w:rsid w:val="00B61A25"/>
    <w:rsid w:val="00B61D8F"/>
    <w:rsid w:val="00B63F88"/>
    <w:rsid w:val="00B6620F"/>
    <w:rsid w:val="00B75333"/>
    <w:rsid w:val="00B814C7"/>
    <w:rsid w:val="00BA38FA"/>
    <w:rsid w:val="00BA7FD3"/>
    <w:rsid w:val="00BB0F62"/>
    <w:rsid w:val="00BB5394"/>
    <w:rsid w:val="00BC01EA"/>
    <w:rsid w:val="00BC1433"/>
    <w:rsid w:val="00BC2548"/>
    <w:rsid w:val="00BC4975"/>
    <w:rsid w:val="00BC5DB3"/>
    <w:rsid w:val="00BD5D35"/>
    <w:rsid w:val="00BF09C8"/>
    <w:rsid w:val="00BF26E1"/>
    <w:rsid w:val="00BF462E"/>
    <w:rsid w:val="00C042CC"/>
    <w:rsid w:val="00C07968"/>
    <w:rsid w:val="00C126F6"/>
    <w:rsid w:val="00C2016C"/>
    <w:rsid w:val="00C20462"/>
    <w:rsid w:val="00C24E42"/>
    <w:rsid w:val="00C36CAC"/>
    <w:rsid w:val="00C46D4F"/>
    <w:rsid w:val="00C47142"/>
    <w:rsid w:val="00C577A7"/>
    <w:rsid w:val="00C622BC"/>
    <w:rsid w:val="00C63FDE"/>
    <w:rsid w:val="00C64D08"/>
    <w:rsid w:val="00C65E17"/>
    <w:rsid w:val="00C746A8"/>
    <w:rsid w:val="00C74E96"/>
    <w:rsid w:val="00C842CE"/>
    <w:rsid w:val="00C95ED2"/>
    <w:rsid w:val="00CA4222"/>
    <w:rsid w:val="00CA55E5"/>
    <w:rsid w:val="00CB1BBF"/>
    <w:rsid w:val="00CC0002"/>
    <w:rsid w:val="00CC2F57"/>
    <w:rsid w:val="00CD1479"/>
    <w:rsid w:val="00CD3986"/>
    <w:rsid w:val="00CD3CB3"/>
    <w:rsid w:val="00CD45B6"/>
    <w:rsid w:val="00CD726A"/>
    <w:rsid w:val="00CE27E9"/>
    <w:rsid w:val="00CE4233"/>
    <w:rsid w:val="00CF12E2"/>
    <w:rsid w:val="00D12638"/>
    <w:rsid w:val="00D127BD"/>
    <w:rsid w:val="00D13A6A"/>
    <w:rsid w:val="00D21DEF"/>
    <w:rsid w:val="00D2746C"/>
    <w:rsid w:val="00D35ACC"/>
    <w:rsid w:val="00D46E39"/>
    <w:rsid w:val="00D52A69"/>
    <w:rsid w:val="00D53158"/>
    <w:rsid w:val="00D5707C"/>
    <w:rsid w:val="00D63F4A"/>
    <w:rsid w:val="00D72A55"/>
    <w:rsid w:val="00D86220"/>
    <w:rsid w:val="00D91B14"/>
    <w:rsid w:val="00D92B57"/>
    <w:rsid w:val="00D938C7"/>
    <w:rsid w:val="00D94F3B"/>
    <w:rsid w:val="00DA5B96"/>
    <w:rsid w:val="00DB3D35"/>
    <w:rsid w:val="00DB5867"/>
    <w:rsid w:val="00DC7CCE"/>
    <w:rsid w:val="00DD0C19"/>
    <w:rsid w:val="00DD654A"/>
    <w:rsid w:val="00DE4941"/>
    <w:rsid w:val="00DF55FC"/>
    <w:rsid w:val="00E04747"/>
    <w:rsid w:val="00E06978"/>
    <w:rsid w:val="00E3496A"/>
    <w:rsid w:val="00E63549"/>
    <w:rsid w:val="00E63873"/>
    <w:rsid w:val="00E71208"/>
    <w:rsid w:val="00E75A14"/>
    <w:rsid w:val="00E87BA4"/>
    <w:rsid w:val="00E914FF"/>
    <w:rsid w:val="00E94004"/>
    <w:rsid w:val="00EA7EDC"/>
    <w:rsid w:val="00EB5A66"/>
    <w:rsid w:val="00EC1C08"/>
    <w:rsid w:val="00EC4703"/>
    <w:rsid w:val="00ED0236"/>
    <w:rsid w:val="00ED7C5B"/>
    <w:rsid w:val="00EF6465"/>
    <w:rsid w:val="00EF7D88"/>
    <w:rsid w:val="00F063DC"/>
    <w:rsid w:val="00F166D0"/>
    <w:rsid w:val="00F17FFC"/>
    <w:rsid w:val="00F20C07"/>
    <w:rsid w:val="00F226A4"/>
    <w:rsid w:val="00F27342"/>
    <w:rsid w:val="00F42F63"/>
    <w:rsid w:val="00F45313"/>
    <w:rsid w:val="00F53F78"/>
    <w:rsid w:val="00F563A8"/>
    <w:rsid w:val="00F6049D"/>
    <w:rsid w:val="00F60984"/>
    <w:rsid w:val="00F674C3"/>
    <w:rsid w:val="00F67FE6"/>
    <w:rsid w:val="00F75A39"/>
    <w:rsid w:val="00F80717"/>
    <w:rsid w:val="00FC4316"/>
    <w:rsid w:val="00FD114C"/>
    <w:rsid w:val="00FD4AF0"/>
    <w:rsid w:val="00FE1E00"/>
    <w:rsid w:val="00FF0366"/>
    <w:rsid w:val="00FF1332"/>
    <w:rsid w:val="00FF4E73"/>
    <w:rsid w:val="00FF59C4"/>
    <w:rsid w:val="00FF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1982A-906F-4EBE-A55D-AB9236AF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4"/>
    <w:uiPriority w:val="99"/>
    <w:unhideWhenUsed/>
    <w:rsid w:val="0023089C"/>
    <w:pPr>
      <w:spacing w:before="100" w:beforeAutospacing="1" w:after="100" w:afterAutospacing="1"/>
    </w:pPr>
  </w:style>
  <w:style w:type="character" w:customStyle="1" w:styleId="af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f3"/>
    <w:uiPriority w:val="99"/>
    <w:locked/>
    <w:rsid w:val="00521D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07FC-1B80-460E-8756-D090A892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DOLGANOVA</cp:lastModifiedBy>
  <cp:revision>25</cp:revision>
  <cp:lastPrinted>2018-04-11T06:49:00Z</cp:lastPrinted>
  <dcterms:created xsi:type="dcterms:W3CDTF">2018-05-16T11:06:00Z</dcterms:created>
  <dcterms:modified xsi:type="dcterms:W3CDTF">2018-07-26T12:21:00Z</dcterms:modified>
</cp:coreProperties>
</file>