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093" w:rsidRPr="00151093" w:rsidRDefault="00151093" w:rsidP="00255E2E">
      <w:pPr>
        <w:keepNext/>
        <w:widowControl/>
        <w:suppressAutoHyphens w:val="0"/>
        <w:ind w:firstLine="680"/>
        <w:jc w:val="both"/>
        <w:rPr>
          <w:color w:val="000000"/>
          <w:sz w:val="24"/>
          <w:szCs w:val="24"/>
        </w:rPr>
      </w:pPr>
      <w:r w:rsidRPr="00151093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Описание объекта закупки: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z w:val="24"/>
          <w:szCs w:val="24"/>
        </w:rPr>
      </w:pPr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53874-2010 «Реабилитация инвалидов. Основные виды реабилитационных услуг».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>конечностей пациентов с помощью протезов конечностей в соответствии с ГОСТ Р 53874-2010 «Реабилитация инвалидов. Основные виды реабилитационных услуг».</w:t>
      </w:r>
    </w:p>
    <w:p w:rsidR="00666BA0" w:rsidRPr="00151093" w:rsidRDefault="00666BA0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пенополиуретана — 1 шт. </w:t>
      </w:r>
    </w:p>
    <w:p w:rsidR="005E2EEB" w:rsidRPr="005E2EEB" w:rsidRDefault="005E2EEB" w:rsidP="00255E2E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r w:rsidRPr="005E2EEB">
        <w:rPr>
          <w:rFonts w:ascii="Times New Roman" w:hAnsi="Times New Roman"/>
          <w:sz w:val="24"/>
          <w:szCs w:val="24"/>
        </w:rPr>
        <w:t xml:space="preserve">Протезы </w:t>
      </w:r>
      <w:r w:rsidRPr="005E2EEB">
        <w:rPr>
          <w:rFonts w:ascii="Times New Roman" w:hAnsi="Times New Roman"/>
          <w:bCs/>
          <w:sz w:val="24"/>
          <w:szCs w:val="24"/>
        </w:rPr>
        <w:t xml:space="preserve">нижних </w:t>
      </w:r>
      <w:r w:rsidRPr="005E2EEB">
        <w:rPr>
          <w:rFonts w:ascii="Times New Roman" w:hAnsi="Times New Roman"/>
          <w:sz w:val="24"/>
          <w:szCs w:val="24"/>
        </w:rPr>
        <w:t xml:space="preserve">конечностей </w:t>
      </w:r>
      <w:r w:rsidRPr="005E2EEB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Р 50444-92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AF2481" w:rsidRPr="00986147" w:rsidRDefault="00AF2481" w:rsidP="00255E2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986147">
        <w:rPr>
          <w:color w:val="000000"/>
          <w:spacing w:val="-2"/>
          <w:sz w:val="24"/>
          <w:szCs w:val="24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lastRenderedPageBreak/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коррози</w:t>
      </w:r>
      <w:r w:rsidR="00ED4FD2">
        <w:rPr>
          <w:rFonts w:eastAsia="Lucida Sans Unicode"/>
          <w:color w:val="000000"/>
          <w:kern w:val="1"/>
          <w:sz w:val="24"/>
          <w:szCs w:val="24"/>
        </w:rPr>
        <w:t>он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ностойких</w:t>
      </w:r>
      <w:r w:rsidRPr="00151093">
        <w:rPr>
          <w:color w:val="000000"/>
          <w:spacing w:val="-2"/>
          <w:sz w:val="24"/>
          <w:szCs w:val="24"/>
        </w:rPr>
        <w:t>материалов или иметь защитные или защитно-декоративные покрытия по ГОСТ 9.301-86.</w:t>
      </w:r>
    </w:p>
    <w:p w:rsidR="004321BD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255E2E">
      <w:pPr>
        <w:keepNext/>
        <w:widowControl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410591">
        <w:rPr>
          <w:sz w:val="24"/>
          <w:szCs w:val="24"/>
        </w:rPr>
        <w:t xml:space="preserve">голени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с даты подписания Акта о приемке работ Получателем и должен составлять не менее </w:t>
      </w:r>
      <w:r w:rsidR="005E2EEB">
        <w:rPr>
          <w:rStyle w:val="60"/>
          <w:color w:val="000000"/>
          <w:spacing w:val="2"/>
          <w:sz w:val="24"/>
          <w:szCs w:val="24"/>
        </w:rPr>
        <w:t>2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5E2EEB">
        <w:rPr>
          <w:rStyle w:val="60"/>
          <w:color w:val="000000"/>
          <w:spacing w:val="2"/>
          <w:sz w:val="24"/>
          <w:szCs w:val="24"/>
        </w:rPr>
        <w:t>двух</w:t>
      </w:r>
      <w:r w:rsidRPr="0043548D">
        <w:rPr>
          <w:rStyle w:val="60"/>
          <w:color w:val="000000"/>
          <w:spacing w:val="2"/>
          <w:sz w:val="24"/>
          <w:szCs w:val="24"/>
        </w:rPr>
        <w:t>) лет</w:t>
      </w:r>
      <w:r w:rsidR="008D15BF">
        <w:rPr>
          <w:rStyle w:val="60"/>
          <w:color w:val="000000"/>
          <w:spacing w:val="2"/>
          <w:sz w:val="24"/>
          <w:szCs w:val="24"/>
        </w:rPr>
        <w:t xml:space="preserve"> для протезов голени модульных и не менее 1 (одного) года для протезов голени лечебно-тренировочных</w:t>
      </w:r>
      <w:r w:rsidRPr="0043548D">
        <w:rPr>
          <w:rStyle w:val="60"/>
          <w:color w:val="000000"/>
          <w:spacing w:val="2"/>
          <w:sz w:val="24"/>
          <w:szCs w:val="24"/>
        </w:rPr>
        <w:t>.</w:t>
      </w:r>
    </w:p>
    <w:p w:rsidR="00151093" w:rsidRPr="00151093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>протез</w:t>
      </w:r>
      <w:r w:rsidR="005E2EEB">
        <w:rPr>
          <w:color w:val="000000"/>
          <w:spacing w:val="-2"/>
          <w:sz w:val="24"/>
          <w:szCs w:val="24"/>
        </w:rPr>
        <w:t>ы</w:t>
      </w:r>
      <w:r w:rsidR="00151093" w:rsidRPr="00151093">
        <w:rPr>
          <w:color w:val="000000"/>
          <w:spacing w:val="-2"/>
          <w:sz w:val="24"/>
          <w:szCs w:val="24"/>
        </w:rPr>
        <w:t xml:space="preserve"> устанавливается </w:t>
      </w:r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255E2E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>ся Исполнителем в течение 30 дней с даты обращения Получателя.</w:t>
      </w:r>
    </w:p>
    <w:p w:rsidR="00410591" w:rsidRDefault="00410591" w:rsidP="00255E2E">
      <w:pPr>
        <w:pStyle w:val="af7"/>
        <w:keepNext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A86BD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Р. </w:t>
      </w:r>
    </w:p>
    <w:p w:rsidR="00410591" w:rsidRDefault="0041059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4859CC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</w:t>
            </w:r>
            <w:r w:rsidR="004859CC"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BA0119" w:rsidRDefault="00247DCF" w:rsidP="00247DCF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BA0119">
              <w:rPr>
                <w:sz w:val="22"/>
                <w:szCs w:val="22"/>
              </w:rPr>
              <w:t>Протез голени лечебно-тренировочный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</w:t>
            </w:r>
            <w:r w:rsidRPr="00247DCF">
              <w:rPr>
                <w:color w:val="000000"/>
                <w:sz w:val="21"/>
                <w:szCs w:val="21"/>
              </w:rPr>
              <w:t>должен быть</w:t>
            </w:r>
            <w:r w:rsidRPr="00BA0119">
              <w:rPr>
                <w:sz w:val="21"/>
                <w:szCs w:val="21"/>
              </w:rPr>
              <w:t xml:space="preserve">лечебно-тренировочный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Может быть без косметической облицовки, без оболочки. Приемная гильза должна быть индивидуальная (одна постоянная и до трех промежуточных). Материал индивидуальной постоянной гильзы должен быть литьевой слоистый пластик на основе акриловых смол, листовой термопластичный пластик. В качестве вкладного элемента может применяться мягкий вкладыш из вспененных материалов. Крепление протеза должно быть с использованием кожаных полуфабрикатов или текстильного наколенника. Регулировочно-соединительные устройства должны соответствовать весу инвалида. Стопа должна быть </w:t>
            </w:r>
            <w:r w:rsidRPr="00247DCF">
              <w:rPr>
                <w:sz w:val="21"/>
                <w:szCs w:val="21"/>
              </w:rPr>
              <w:t>с высокой степенью устойчивости в положении стоя и при ходьбе.</w:t>
            </w:r>
            <w:r w:rsidRPr="00BA0119">
              <w:rPr>
                <w:sz w:val="21"/>
                <w:szCs w:val="21"/>
              </w:rPr>
              <w:t xml:space="preserve">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 должен быть: лечебно-тренировочный.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Pr="00410591" w:rsidRDefault="00247DC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410591" w:rsidRDefault="00247DCF" w:rsidP="00247DCF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247DCF">
              <w:rPr>
                <w:sz w:val="21"/>
                <w:szCs w:val="21"/>
              </w:rPr>
              <w:t xml:space="preserve">Протез голени </w:t>
            </w:r>
            <w:r w:rsidRPr="00247DCF">
              <w:rPr>
                <w:color w:val="000000"/>
                <w:sz w:val="21"/>
                <w:szCs w:val="21"/>
              </w:rPr>
              <w:t>должен быть</w:t>
            </w:r>
            <w:r w:rsidRPr="00247DCF">
              <w:rPr>
                <w:sz w:val="21"/>
                <w:szCs w:val="21"/>
              </w:rPr>
              <w:t xml:space="preserve">модульный для пациентов с низкой степенью активности. Приёмная гильза </w:t>
            </w:r>
            <w:r w:rsidRPr="00247DCF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247DCF">
              <w:rPr>
                <w:color w:val="000000"/>
                <w:sz w:val="21"/>
                <w:szCs w:val="21"/>
              </w:rPr>
              <w:t xml:space="preserve"> быть</w:t>
            </w:r>
            <w:r w:rsidRPr="00247DCF">
              <w:rPr>
                <w:sz w:val="21"/>
                <w:szCs w:val="21"/>
              </w:rPr>
              <w:t>индивидуальная. Материал  гильзы</w:t>
            </w:r>
            <w:r w:rsidRPr="00247DCF">
              <w:rPr>
                <w:color w:val="000000"/>
                <w:sz w:val="21"/>
                <w:szCs w:val="21"/>
              </w:rPr>
              <w:t xml:space="preserve"> должен быть</w:t>
            </w:r>
            <w:r w:rsidRPr="00247DCF">
              <w:rPr>
                <w:sz w:val="21"/>
                <w:szCs w:val="21"/>
              </w:rPr>
              <w:t xml:space="preserve">:  листовой термопластичный пластик, слоистый пластик на основе акриловых смол,  в индивидуальных случаях с применением вкладных гильз из вспененных материалов. Крепление протеза </w:t>
            </w:r>
            <w:r w:rsidRPr="00247DCF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247DCF">
              <w:rPr>
                <w:color w:val="000000"/>
                <w:sz w:val="21"/>
                <w:szCs w:val="21"/>
              </w:rPr>
              <w:t xml:space="preserve"> быть</w:t>
            </w:r>
            <w:r w:rsidRPr="00247DCF">
              <w:rPr>
                <w:sz w:val="21"/>
                <w:szCs w:val="21"/>
              </w:rPr>
              <w:t xml:space="preserve">поясное, или с использованием наколенника. Стопа </w:t>
            </w:r>
            <w:r w:rsidRPr="00247DCF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247DCF">
              <w:rPr>
                <w:color w:val="000000"/>
                <w:sz w:val="21"/>
                <w:szCs w:val="21"/>
              </w:rPr>
              <w:t xml:space="preserve"> быть</w:t>
            </w:r>
            <w:r w:rsidRPr="00247DCF">
              <w:rPr>
                <w:sz w:val="21"/>
                <w:szCs w:val="21"/>
              </w:rPr>
              <w:t xml:space="preserve">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247DCF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247DCF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 w:rsidRPr="00247DCF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247DCF">
              <w:rPr>
                <w:color w:val="000000"/>
                <w:sz w:val="21"/>
                <w:szCs w:val="21"/>
              </w:rPr>
              <w:t xml:space="preserve"> быть</w:t>
            </w:r>
            <w:r w:rsidRPr="00247DCF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Pr="00247DCF">
              <w:rPr>
                <w:color w:val="000000"/>
                <w:sz w:val="21"/>
                <w:szCs w:val="21"/>
              </w:rPr>
              <w:t xml:space="preserve"> 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247DCF">
              <w:rPr>
                <w:color w:val="000000"/>
                <w:sz w:val="21"/>
                <w:szCs w:val="21"/>
              </w:rPr>
              <w:t xml:space="preserve"> быть</w:t>
            </w:r>
            <w:r w:rsidRPr="00247DCF">
              <w:rPr>
                <w:sz w:val="21"/>
                <w:szCs w:val="21"/>
              </w:rPr>
              <w:t>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247DCF">
              <w:rPr>
                <w:color w:val="000000"/>
                <w:sz w:val="21"/>
                <w:szCs w:val="21"/>
              </w:rPr>
              <w:t xml:space="preserve"> должен быть</w:t>
            </w:r>
            <w:r w:rsidRPr="00247DCF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Default="00247DC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410591" w:rsidRDefault="00247DCF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 должен быть: кожа, слоистый пластик на основе акриловых смол</w:t>
            </w:r>
            <w:r w:rsidR="00151750">
              <w:rPr>
                <w:sz w:val="21"/>
                <w:szCs w:val="21"/>
              </w:rPr>
              <w:t>,</w:t>
            </w:r>
            <w:r w:rsidRPr="00BA0119">
              <w:rPr>
                <w:sz w:val="21"/>
                <w:szCs w:val="21"/>
              </w:rPr>
              <w:t xml:space="preserve"> в индивидуальных случаях с применением вкладных гильз из вспененных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ны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Pr="00410591" w:rsidRDefault="00247DC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410591" w:rsidRDefault="00247DCF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должен быть модульный для пациентов со средней степенью активности. Приёмных гильз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постоянной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слоистый пластик на основе акриловых смол</w:t>
            </w:r>
            <w:r w:rsidR="00151750">
              <w:rPr>
                <w:sz w:val="21"/>
                <w:szCs w:val="21"/>
              </w:rPr>
              <w:t>,</w:t>
            </w:r>
            <w:r w:rsidRPr="00BA0119">
              <w:rPr>
                <w:sz w:val="21"/>
                <w:szCs w:val="21"/>
              </w:rPr>
              <w:t xml:space="preserve"> в индивидуальных случаях с применением вкладных гильз из вспененных материалов. Материал пробной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листовой термопластичный пластик. Крепление протеза должно быть 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Default="00247DC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410591" w:rsidRDefault="00247DCF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постоянной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слоистый пластик на основе акриловых смол. Материал пробной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BA0119">
              <w:rPr>
                <w:sz w:val="21"/>
                <w:szCs w:val="21"/>
              </w:rPr>
              <w:t xml:space="preserve">ся чехлы полимерные гелевые, крепление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 xml:space="preserve">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Pr="00410591" w:rsidRDefault="00247DC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410591" w:rsidRDefault="00247DCF" w:rsidP="00247DCF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>Протез голени должен быть модульный для пациентов с</w:t>
            </w:r>
            <w:r>
              <w:rPr>
                <w:sz w:val="21"/>
                <w:szCs w:val="21"/>
              </w:rPr>
              <w:t>о</w:t>
            </w:r>
            <w:r w:rsidRPr="00BA0119">
              <w:rPr>
                <w:sz w:val="21"/>
                <w:szCs w:val="21"/>
              </w:rPr>
              <w:t xml:space="preserve"> средн</w:t>
            </w:r>
            <w:r>
              <w:rPr>
                <w:sz w:val="21"/>
                <w:szCs w:val="21"/>
              </w:rPr>
              <w:t>е</w:t>
            </w:r>
            <w:r w:rsidRPr="00BA0119">
              <w:rPr>
                <w:sz w:val="21"/>
                <w:szCs w:val="21"/>
              </w:rPr>
              <w:t xml:space="preserve">й степенью активности. Приёмных гильз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постоянной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слоистый пластик на основе акриловых смол. Материал пробной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BA0119">
              <w:rPr>
                <w:sz w:val="21"/>
                <w:szCs w:val="21"/>
              </w:rPr>
              <w:t xml:space="preserve">ся чехлы полимерные гелевые, крепление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 xml:space="preserve">с использованием замка или вакуумной мембраны. Стопа должна быть с высокой подвижностью и гибкостью.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</w:t>
            </w:r>
            <w:r>
              <w:rPr>
                <w:sz w:val="21"/>
                <w:szCs w:val="21"/>
              </w:rPr>
              <w:t>на</w:t>
            </w:r>
            <w:r w:rsidRPr="00BA0119">
              <w:rPr>
                <w:sz w:val="21"/>
                <w:szCs w:val="21"/>
              </w:rPr>
              <w:t xml:space="preserve">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Pr="00410591" w:rsidRDefault="00247DC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7DCF" w:rsidRPr="005C28F3" w:rsidTr="004859CC">
        <w:trPr>
          <w:trHeight w:val="26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011344" w:rsidRDefault="00247DCF" w:rsidP="00011344">
            <w:pPr>
              <w:keepNext/>
              <w:widowControl/>
              <w:snapToGrid w:val="0"/>
              <w:jc w:val="right"/>
              <w:rPr>
                <w:sz w:val="22"/>
                <w:szCs w:val="22"/>
              </w:rPr>
            </w:pPr>
            <w:r w:rsidRPr="0001134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Pr="00410591" w:rsidRDefault="00247DC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D462D" w:rsidRPr="003E735E" w:rsidRDefault="00614F11" w:rsidP="001A13B6">
      <w:pPr>
        <w:keepNext/>
        <w:widowControl/>
        <w:rPr>
          <w:sz w:val="16"/>
          <w:szCs w:val="16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>Планируемый срок размещения закупки август 2018г.</w:t>
      </w: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92" w:rsidRDefault="00A53D92">
      <w:r>
        <w:separator/>
      </w:r>
    </w:p>
  </w:endnote>
  <w:endnote w:type="continuationSeparator" w:id="1">
    <w:p w:rsidR="00A53D92" w:rsidRDefault="00A5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CF" w:rsidRDefault="00247DCF">
    <w:pPr>
      <w:pStyle w:val="ae"/>
      <w:jc w:val="right"/>
    </w:pPr>
  </w:p>
  <w:p w:rsidR="00247DCF" w:rsidRDefault="00247D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92" w:rsidRDefault="00A53D92">
      <w:r>
        <w:separator/>
      </w:r>
    </w:p>
  </w:footnote>
  <w:footnote w:type="continuationSeparator" w:id="1">
    <w:p w:rsidR="00A53D92" w:rsidRDefault="00A5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CF" w:rsidRDefault="00B561F2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247DCF" w:rsidRDefault="00247DCF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B04"/>
    <w:rsid w:val="00006278"/>
    <w:rsid w:val="00011344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1750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40432"/>
    <w:rsid w:val="00241CF7"/>
    <w:rsid w:val="00247DCF"/>
    <w:rsid w:val="00255E2E"/>
    <w:rsid w:val="00257956"/>
    <w:rsid w:val="00283643"/>
    <w:rsid w:val="002D1232"/>
    <w:rsid w:val="002D4489"/>
    <w:rsid w:val="002F2B5D"/>
    <w:rsid w:val="002F6975"/>
    <w:rsid w:val="00324C30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0591"/>
    <w:rsid w:val="00412274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859CC"/>
    <w:rsid w:val="004A37F9"/>
    <w:rsid w:val="004B1110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29BF"/>
    <w:rsid w:val="005D462D"/>
    <w:rsid w:val="005E2EEB"/>
    <w:rsid w:val="005F1597"/>
    <w:rsid w:val="005F4C6A"/>
    <w:rsid w:val="00601095"/>
    <w:rsid w:val="00603D72"/>
    <w:rsid w:val="00614F11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1D9A"/>
    <w:rsid w:val="00706F03"/>
    <w:rsid w:val="007117A8"/>
    <w:rsid w:val="0071211E"/>
    <w:rsid w:val="00712714"/>
    <w:rsid w:val="00713428"/>
    <w:rsid w:val="00723B2E"/>
    <w:rsid w:val="00746926"/>
    <w:rsid w:val="00755CF0"/>
    <w:rsid w:val="007566DA"/>
    <w:rsid w:val="007568BF"/>
    <w:rsid w:val="00777309"/>
    <w:rsid w:val="0079633B"/>
    <w:rsid w:val="007965FD"/>
    <w:rsid w:val="007A103F"/>
    <w:rsid w:val="007A11DF"/>
    <w:rsid w:val="007B0926"/>
    <w:rsid w:val="007B2C79"/>
    <w:rsid w:val="007B5260"/>
    <w:rsid w:val="007B616F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40E59"/>
    <w:rsid w:val="008532B5"/>
    <w:rsid w:val="00863D8E"/>
    <w:rsid w:val="00872827"/>
    <w:rsid w:val="00877094"/>
    <w:rsid w:val="008A66D5"/>
    <w:rsid w:val="008B7A42"/>
    <w:rsid w:val="008C3E76"/>
    <w:rsid w:val="008D15BF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53D92"/>
    <w:rsid w:val="00A61B42"/>
    <w:rsid w:val="00A71369"/>
    <w:rsid w:val="00AB5A64"/>
    <w:rsid w:val="00AC319F"/>
    <w:rsid w:val="00AD21FA"/>
    <w:rsid w:val="00AD5152"/>
    <w:rsid w:val="00AE507C"/>
    <w:rsid w:val="00AF2481"/>
    <w:rsid w:val="00AF2A9C"/>
    <w:rsid w:val="00AF4EEA"/>
    <w:rsid w:val="00B014D7"/>
    <w:rsid w:val="00B20A6B"/>
    <w:rsid w:val="00B22E2F"/>
    <w:rsid w:val="00B532AA"/>
    <w:rsid w:val="00B561F2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940ED"/>
    <w:rsid w:val="00CB27BB"/>
    <w:rsid w:val="00CB327E"/>
    <w:rsid w:val="00CB38D9"/>
    <w:rsid w:val="00CC3959"/>
    <w:rsid w:val="00CD2684"/>
    <w:rsid w:val="00CD5F33"/>
    <w:rsid w:val="00CE4200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F075F"/>
    <w:rsid w:val="00DF69EC"/>
    <w:rsid w:val="00E016B4"/>
    <w:rsid w:val="00E01A5C"/>
    <w:rsid w:val="00E031C9"/>
    <w:rsid w:val="00E047DE"/>
    <w:rsid w:val="00E26393"/>
    <w:rsid w:val="00E40D84"/>
    <w:rsid w:val="00E4481F"/>
    <w:rsid w:val="00E468DA"/>
    <w:rsid w:val="00E62B04"/>
    <w:rsid w:val="00E65DE8"/>
    <w:rsid w:val="00E75507"/>
    <w:rsid w:val="00EA637A"/>
    <w:rsid w:val="00EB3B5E"/>
    <w:rsid w:val="00EB6964"/>
    <w:rsid w:val="00EB72F7"/>
    <w:rsid w:val="00EC3B09"/>
    <w:rsid w:val="00EC5500"/>
    <w:rsid w:val="00EC7FB9"/>
    <w:rsid w:val="00ED4FD2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84D7E"/>
    <w:rsid w:val="00F90DC8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DFF0-6BA2-4D14-A3F1-51A6A4AF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12744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2</cp:revision>
  <cp:lastPrinted>2018-08-01T14:48:00Z</cp:lastPrinted>
  <dcterms:created xsi:type="dcterms:W3CDTF">2018-08-24T12:57:00Z</dcterms:created>
  <dcterms:modified xsi:type="dcterms:W3CDTF">2018-08-24T12:57:00Z</dcterms:modified>
</cp:coreProperties>
</file>