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5" w:rsidRPr="00836AEA" w:rsidRDefault="00AD0C85" w:rsidP="00AD0C85">
      <w:pPr>
        <w:widowControl w:val="0"/>
        <w:jc w:val="both"/>
        <w:rPr>
          <w:b/>
        </w:rPr>
      </w:pPr>
      <w:r w:rsidRPr="00EC0FCC">
        <w:rPr>
          <w:b/>
        </w:rPr>
        <w:t>Описание объекта закупки (техническое задание)</w:t>
      </w:r>
    </w:p>
    <w:p w:rsidR="00AD0C85" w:rsidRDefault="00AD0C85" w:rsidP="00AD0C85">
      <w:pPr>
        <w:ind w:right="10"/>
        <w:jc w:val="both"/>
      </w:pPr>
      <w:r>
        <w:t xml:space="preserve">Поставщик должен поставлять ортопедическую малосложную обувь </w:t>
      </w:r>
      <w:r>
        <w:rPr>
          <w:spacing w:val="-4"/>
        </w:rPr>
        <w:t>(далее – Изделия)</w:t>
      </w:r>
      <w:r>
        <w:t xml:space="preserve"> </w:t>
      </w:r>
      <w:r>
        <w:rPr>
          <w:spacing w:val="-4"/>
        </w:rPr>
        <w:t>для инвалидов (далее – Получатели)</w:t>
      </w:r>
      <w: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D0C85" w:rsidRDefault="00AD0C85" w:rsidP="00AD0C85">
      <w:pPr>
        <w:autoSpaceDE w:val="0"/>
        <w:autoSpaceDN w:val="0"/>
        <w:adjustRightInd w:val="0"/>
        <w:jc w:val="both"/>
      </w:pPr>
    </w:p>
    <w:p w:rsidR="00AD0C85" w:rsidRDefault="00AD0C85" w:rsidP="00AD0C8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Срок поставки:</w:t>
      </w:r>
      <w:r>
        <w:t xml:space="preserve"> со дня, следующего за днем заключения государственного контракта, до 11.12.2018 включительно.</w:t>
      </w:r>
    </w:p>
    <w:p w:rsidR="00AD0C85" w:rsidRDefault="00AD0C85" w:rsidP="00AD0C85">
      <w:pPr>
        <w:jc w:val="both"/>
        <w:rPr>
          <w:b/>
        </w:rPr>
      </w:pPr>
    </w:p>
    <w:p w:rsidR="00AD0C85" w:rsidRDefault="00AD0C85" w:rsidP="00AD0C85">
      <w:pPr>
        <w:jc w:val="both"/>
        <w:rPr>
          <w:b/>
        </w:rPr>
      </w:pPr>
      <w:r w:rsidRPr="008F428C">
        <w:rPr>
          <w:b/>
        </w:rPr>
        <w:t>1.</w:t>
      </w:r>
      <w:r>
        <w:rPr>
          <w:b/>
        </w:rPr>
        <w:t xml:space="preserve"> </w:t>
      </w:r>
      <w:r w:rsidRPr="00EC48D5">
        <w:rPr>
          <w:b/>
        </w:rPr>
        <w:t>Поставляемые Изделия должны отвечать следующим требованиям:</w:t>
      </w:r>
    </w:p>
    <w:p w:rsidR="00AD0C85" w:rsidRDefault="00AD0C85" w:rsidP="00AD0C85">
      <w:pPr>
        <w:autoSpaceDE w:val="0"/>
        <w:jc w:val="both"/>
      </w:pPr>
      <w: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AD0C85" w:rsidRPr="0022690F" w:rsidRDefault="00AD0C85" w:rsidP="00AD0C85">
      <w:pPr>
        <w:widowControl w:val="0"/>
        <w:spacing w:line="240" w:lineRule="atLeast"/>
        <w:jc w:val="both"/>
        <w:rPr>
          <w:lang w:eastAsia="ar-SA"/>
        </w:rPr>
      </w:pPr>
      <w:r>
        <w:rPr>
          <w:lang w:eastAsia="ar-SA"/>
        </w:rPr>
        <w:t>1.2. Изделия должны</w:t>
      </w:r>
      <w:r w:rsidRPr="0022690F">
        <w:rPr>
          <w:lang w:eastAsia="ar-SA"/>
        </w:rPr>
        <w:t xml:space="preserve"> соответствовать</w:t>
      </w:r>
      <w:r>
        <w:rPr>
          <w:lang w:eastAsia="ar-SA"/>
        </w:rPr>
        <w:t xml:space="preserve"> следующе</w:t>
      </w:r>
      <w:r w:rsidRPr="0022690F">
        <w:rPr>
          <w:lang w:eastAsia="ar-SA"/>
        </w:rPr>
        <w:t>м</w:t>
      </w:r>
      <w:r>
        <w:rPr>
          <w:lang w:eastAsia="ar-SA"/>
        </w:rPr>
        <w:t>у государственно</w:t>
      </w:r>
      <w:r w:rsidRPr="0022690F">
        <w:rPr>
          <w:lang w:eastAsia="ar-SA"/>
        </w:rPr>
        <w:t>м</w:t>
      </w:r>
      <w:r>
        <w:rPr>
          <w:lang w:eastAsia="ar-SA"/>
        </w:rPr>
        <w:t>у стандарту (ГОСТ), действующе</w:t>
      </w:r>
      <w:r w:rsidRPr="0022690F">
        <w:rPr>
          <w:lang w:eastAsia="ar-SA"/>
        </w:rPr>
        <w:t>м</w:t>
      </w:r>
      <w:r>
        <w:rPr>
          <w:lang w:eastAsia="ar-SA"/>
        </w:rPr>
        <w:t>у</w:t>
      </w:r>
      <w:r w:rsidRPr="0022690F">
        <w:rPr>
          <w:lang w:eastAsia="ar-SA"/>
        </w:rPr>
        <w:t xml:space="preserve"> на территории Российской Федерации:</w:t>
      </w:r>
    </w:p>
    <w:p w:rsidR="00AD0C85" w:rsidRDefault="00AD0C85" w:rsidP="00AD0C85">
      <w:pPr>
        <w:autoSpaceDE w:val="0"/>
        <w:jc w:val="both"/>
      </w:pPr>
      <w:r w:rsidRPr="0022690F">
        <w:rPr>
          <w:lang w:eastAsia="ar-SA"/>
        </w:rPr>
        <w:t xml:space="preserve">ГОСТ </w:t>
      </w:r>
      <w:proofErr w:type="gramStart"/>
      <w:r w:rsidRPr="0022690F">
        <w:rPr>
          <w:lang w:eastAsia="ar-SA"/>
        </w:rPr>
        <w:t>Р</w:t>
      </w:r>
      <w:proofErr w:type="gramEnd"/>
      <w:r w:rsidRPr="0022690F">
        <w:rPr>
          <w:lang w:eastAsia="ar-SA"/>
        </w:rPr>
        <w:t xml:space="preserve"> 54407-2011 «Обувь ортопедическая. Общие технические условия».</w:t>
      </w:r>
    </w:p>
    <w:p w:rsidR="00AD0C85" w:rsidRDefault="00AD0C85" w:rsidP="00AD0C85">
      <w:pPr>
        <w:jc w:val="both"/>
      </w:pPr>
      <w:r>
        <w:t>1.3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AD0C85" w:rsidRDefault="00AD0C85" w:rsidP="00AD0C85">
      <w:pPr>
        <w:jc w:val="both"/>
      </w:pPr>
      <w:r>
        <w:t xml:space="preserve">1.4.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AD0C85" w:rsidRDefault="00AD0C85" w:rsidP="00AD0C85">
      <w:pPr>
        <w:jc w:val="both"/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985"/>
        <w:gridCol w:w="1984"/>
        <w:gridCol w:w="2410"/>
        <w:gridCol w:w="1276"/>
      </w:tblGrid>
      <w:tr w:rsidR="00AD0C85" w:rsidRPr="0056173D" w:rsidTr="001B3D92">
        <w:tc>
          <w:tcPr>
            <w:tcW w:w="540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503FA">
              <w:rPr>
                <w:lang w:eastAsia="ar-SA"/>
              </w:rPr>
              <w:t xml:space="preserve">№ </w:t>
            </w:r>
            <w:proofErr w:type="gramStart"/>
            <w:r w:rsidRPr="007503FA">
              <w:rPr>
                <w:lang w:eastAsia="ar-SA"/>
              </w:rPr>
              <w:t>п</w:t>
            </w:r>
            <w:proofErr w:type="gramEnd"/>
            <w:r w:rsidRPr="007503FA">
              <w:rPr>
                <w:lang w:eastAsia="ar-SA"/>
              </w:rPr>
              <w:t>/п</w:t>
            </w:r>
          </w:p>
        </w:tc>
        <w:tc>
          <w:tcPr>
            <w:tcW w:w="1908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7503FA">
              <w:t>Наименование Изделия</w:t>
            </w:r>
          </w:p>
        </w:tc>
        <w:tc>
          <w:tcPr>
            <w:tcW w:w="1985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7503FA">
              <w:t>Наименование характеристики Изделия</w:t>
            </w:r>
          </w:p>
        </w:tc>
        <w:tc>
          <w:tcPr>
            <w:tcW w:w="1984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</w:rPr>
            </w:pPr>
            <w:r w:rsidRPr="007503FA">
              <w:t>Показатель характеристики</w:t>
            </w:r>
          </w:p>
        </w:tc>
        <w:tc>
          <w:tcPr>
            <w:tcW w:w="2410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snapToGrid w:val="0"/>
              <w:jc w:val="center"/>
            </w:pPr>
            <w:r w:rsidRPr="007503FA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76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jc w:val="center"/>
            </w:pPr>
            <w:r w:rsidRPr="007503FA">
              <w:t>Количество</w:t>
            </w:r>
          </w:p>
          <w:p w:rsidR="00AD0C85" w:rsidRPr="007503FA" w:rsidRDefault="00AD0C85" w:rsidP="001B3D92">
            <w:pPr>
              <w:widowControl w:val="0"/>
              <w:suppressAutoHyphens/>
              <w:jc w:val="center"/>
            </w:pPr>
            <w:r w:rsidRPr="007503FA">
              <w:t>(</w:t>
            </w:r>
            <w:r>
              <w:t>полупар)</w:t>
            </w:r>
          </w:p>
          <w:p w:rsidR="00AD0C85" w:rsidRPr="007503FA" w:rsidRDefault="00AD0C85" w:rsidP="001B3D92">
            <w:pPr>
              <w:widowControl w:val="0"/>
              <w:suppressAutoHyphens/>
              <w:jc w:val="center"/>
            </w:pPr>
          </w:p>
        </w:tc>
      </w:tr>
      <w:tr w:rsidR="00AD0C85" w:rsidRPr="0056173D" w:rsidTr="001B3D92">
        <w:tc>
          <w:tcPr>
            <w:tcW w:w="540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08" w:type="dxa"/>
            <w:shd w:val="clear" w:color="auto" w:fill="auto"/>
          </w:tcPr>
          <w:p w:rsidR="00AD0C85" w:rsidRPr="00337C0D" w:rsidRDefault="00AD0C85" w:rsidP="001B3D92">
            <w:pPr>
              <w:suppressAutoHyphens/>
              <w:spacing w:line="240" w:lineRule="atLeast"/>
            </w:pPr>
            <w:r w:rsidRPr="00CC6C01">
              <w:t xml:space="preserve">Обувь ортопедическая </w:t>
            </w:r>
            <w:r>
              <w:t>малосложная на утепленной подкладке</w:t>
            </w:r>
            <w:r w:rsidRPr="00CC6C01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D0C85" w:rsidRPr="00087469" w:rsidRDefault="00AD0C85" w:rsidP="001B3D92">
            <w:pPr>
              <w:jc w:val="center"/>
            </w:pPr>
            <w:r>
              <w:t>Ортопедическая о</w:t>
            </w:r>
            <w:r w:rsidRPr="00087469">
              <w:t xml:space="preserve">бувь </w:t>
            </w:r>
            <w:r>
              <w:t>на подбор</w:t>
            </w:r>
          </w:p>
        </w:tc>
        <w:tc>
          <w:tcPr>
            <w:tcW w:w="1984" w:type="dxa"/>
            <w:shd w:val="clear" w:color="auto" w:fill="auto"/>
          </w:tcPr>
          <w:p w:rsidR="00AD0C85" w:rsidRPr="00087469" w:rsidRDefault="00AD0C85" w:rsidP="001B3D92">
            <w:pPr>
              <w:snapToGrid w:val="0"/>
              <w:jc w:val="center"/>
              <w:rPr>
                <w:rFonts w:eastAsia="Arial Unicode MS"/>
              </w:rPr>
            </w:pPr>
            <w:r w:rsidRPr="00087469">
              <w:rPr>
                <w:rFonts w:eastAsia="Arial Unicode MS"/>
              </w:rPr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D0C85" w:rsidRPr="0056173D" w:rsidRDefault="00AD0C85" w:rsidP="001B3D92">
            <w:pPr>
              <w:widowControl w:val="0"/>
              <w:suppressAutoHyphens/>
              <w:spacing w:line="240" w:lineRule="atLeast"/>
              <w:jc w:val="center"/>
            </w:pPr>
            <w:r w:rsidRPr="0056173D">
              <w:t xml:space="preserve">ГОСТ </w:t>
            </w:r>
            <w:proofErr w:type="gramStart"/>
            <w:r w:rsidRPr="0056173D">
              <w:t>Р</w:t>
            </w:r>
            <w:proofErr w:type="gramEnd"/>
            <w:r w:rsidRPr="0056173D">
              <w:t xml:space="preserve"> 54407-2011 </w:t>
            </w:r>
          </w:p>
          <w:p w:rsidR="00AD0C85" w:rsidRPr="0056173D" w:rsidRDefault="00AD0C85" w:rsidP="001B3D92">
            <w:pPr>
              <w:widowControl w:val="0"/>
              <w:suppressAutoHyphens/>
              <w:spacing w:line="240" w:lineRule="atLeast"/>
              <w:jc w:val="center"/>
            </w:pPr>
          </w:p>
          <w:p w:rsidR="00AD0C85" w:rsidRPr="0056173D" w:rsidRDefault="00AD0C85" w:rsidP="001B3D92">
            <w:pPr>
              <w:widowControl w:val="0"/>
              <w:suppressAutoHyphens/>
              <w:spacing w:line="240" w:lineRule="atLeast"/>
              <w:jc w:val="center"/>
            </w:pPr>
          </w:p>
          <w:p w:rsidR="00AD0C85" w:rsidRPr="0056173D" w:rsidRDefault="00AD0C85" w:rsidP="001B3D9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jc w:val="center"/>
            </w:pPr>
            <w:r>
              <w:t>300</w:t>
            </w:r>
          </w:p>
        </w:tc>
      </w:tr>
      <w:tr w:rsidR="00AD0C85" w:rsidRPr="0056173D" w:rsidTr="001B3D92">
        <w:tc>
          <w:tcPr>
            <w:tcW w:w="540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08" w:type="dxa"/>
            <w:shd w:val="clear" w:color="auto" w:fill="auto"/>
          </w:tcPr>
          <w:p w:rsidR="00AD0C85" w:rsidRPr="00337C0D" w:rsidRDefault="00AD0C85" w:rsidP="001B3D92">
            <w:pPr>
              <w:suppressAutoHyphens/>
              <w:spacing w:line="240" w:lineRule="atLeast"/>
            </w:pPr>
            <w:r w:rsidRPr="00CC6C01">
              <w:t xml:space="preserve">Обувь ортопедическая </w:t>
            </w:r>
            <w:r>
              <w:t xml:space="preserve">малосложная </w:t>
            </w:r>
            <w:proofErr w:type="gramStart"/>
            <w:r>
              <w:t>без</w:t>
            </w:r>
            <w:proofErr w:type="gramEnd"/>
            <w:r>
              <w:t xml:space="preserve"> утепленной подкладке</w:t>
            </w:r>
          </w:p>
        </w:tc>
        <w:tc>
          <w:tcPr>
            <w:tcW w:w="1985" w:type="dxa"/>
            <w:shd w:val="clear" w:color="auto" w:fill="auto"/>
          </w:tcPr>
          <w:p w:rsidR="00AD0C85" w:rsidRPr="00087469" w:rsidRDefault="00AD0C85" w:rsidP="001B3D92">
            <w:pPr>
              <w:jc w:val="center"/>
            </w:pPr>
            <w:r>
              <w:t>Ортопедическая о</w:t>
            </w:r>
            <w:r w:rsidRPr="00087469">
              <w:t xml:space="preserve">бувь </w:t>
            </w:r>
            <w:r>
              <w:t>на подбор</w:t>
            </w:r>
          </w:p>
        </w:tc>
        <w:tc>
          <w:tcPr>
            <w:tcW w:w="1984" w:type="dxa"/>
            <w:shd w:val="clear" w:color="auto" w:fill="auto"/>
          </w:tcPr>
          <w:p w:rsidR="00AD0C85" w:rsidRPr="00087469" w:rsidRDefault="00AD0C85" w:rsidP="001B3D92">
            <w:pPr>
              <w:snapToGrid w:val="0"/>
              <w:jc w:val="center"/>
              <w:rPr>
                <w:rFonts w:eastAsia="Arial Unicode MS"/>
              </w:rPr>
            </w:pPr>
            <w:r w:rsidRPr="00087469">
              <w:rPr>
                <w:rFonts w:eastAsia="Arial Unicode MS"/>
              </w:rPr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D0C85" w:rsidRPr="0056173D" w:rsidRDefault="00AD0C85" w:rsidP="001B3D92">
            <w:pPr>
              <w:widowControl w:val="0"/>
              <w:suppressAutoHyphens/>
              <w:spacing w:line="240" w:lineRule="atLeast"/>
              <w:jc w:val="center"/>
              <w:rPr>
                <w:highlight w:val="yellow"/>
              </w:rPr>
            </w:pPr>
            <w:r w:rsidRPr="0056173D">
              <w:t xml:space="preserve">ГОСТ </w:t>
            </w:r>
            <w:proofErr w:type="gramStart"/>
            <w:r w:rsidRPr="0056173D">
              <w:t>Р</w:t>
            </w:r>
            <w:proofErr w:type="gramEnd"/>
            <w:r w:rsidRPr="0056173D">
              <w:t xml:space="preserve"> 54407-2011 </w:t>
            </w:r>
          </w:p>
        </w:tc>
        <w:tc>
          <w:tcPr>
            <w:tcW w:w="1276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jc w:val="center"/>
            </w:pPr>
            <w:r>
              <w:t>300</w:t>
            </w:r>
          </w:p>
        </w:tc>
      </w:tr>
      <w:tr w:rsidR="00AD0C85" w:rsidRPr="0056173D" w:rsidTr="001B3D92">
        <w:tc>
          <w:tcPr>
            <w:tcW w:w="8827" w:type="dxa"/>
            <w:gridSpan w:val="5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D0C85" w:rsidRPr="007503FA" w:rsidRDefault="00AD0C85" w:rsidP="001B3D92">
            <w:pPr>
              <w:widowControl w:val="0"/>
              <w:suppressAutoHyphens/>
              <w:jc w:val="center"/>
            </w:pPr>
            <w:r>
              <w:t>600</w:t>
            </w:r>
          </w:p>
        </w:tc>
      </w:tr>
    </w:tbl>
    <w:p w:rsidR="00AD0C85" w:rsidRDefault="00AD0C85" w:rsidP="00AD0C85">
      <w:pPr>
        <w:jc w:val="both"/>
      </w:pPr>
    </w:p>
    <w:p w:rsidR="00AD0C85" w:rsidRDefault="00AD0C85" w:rsidP="00AD0C85">
      <w:pPr>
        <w:jc w:val="both"/>
      </w:pPr>
      <w:r>
        <w:t>1.5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 xml:space="preserve"> (</w:t>
      </w:r>
      <w:proofErr w:type="gramStart"/>
      <w:r>
        <w:t>п</w:t>
      </w:r>
      <w:proofErr w:type="gramEnd"/>
      <w:r>
        <w:t xml:space="preserve"> 4.11.5</w:t>
      </w:r>
      <w:r w:rsidRPr="001E6D40">
        <w:t xml:space="preserve"> ГОСТ Р 51632-2014 «Технические средства реабилитации людей с ограничениями жизнедеятельности. </w:t>
      </w:r>
      <w:proofErr w:type="gramStart"/>
      <w:r w:rsidRPr="001E6D40">
        <w:t>Общие технические требования и методы испытаний»)</w:t>
      </w:r>
      <w:r>
        <w:t>.</w:t>
      </w:r>
      <w:proofErr w:type="gramEnd"/>
    </w:p>
    <w:p w:rsidR="00AD0C85" w:rsidRDefault="00AD0C85" w:rsidP="00AD0C85">
      <w:pPr>
        <w:jc w:val="both"/>
      </w:pPr>
      <w:r>
        <w:t xml:space="preserve">1.6. Гарантийный </w:t>
      </w:r>
      <w:r w:rsidRPr="00217FD2">
        <w:t>ремонт Изделия осуществляется Поставщиком в период</w:t>
      </w:r>
      <w:r>
        <w:t xml:space="preserve"> гарантийного срока.</w:t>
      </w:r>
    </w:p>
    <w:p w:rsidR="00AD0C85" w:rsidRPr="00510EB4" w:rsidRDefault="00AD0C85" w:rsidP="00AD0C85">
      <w:pPr>
        <w:jc w:val="both"/>
      </w:pPr>
      <w: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Гарантийные</w:t>
      </w:r>
      <w:r w:rsidRPr="0047288F">
        <w:t xml:space="preserve"> срок</w:t>
      </w:r>
      <w:r>
        <w:t xml:space="preserve">и </w:t>
      </w:r>
      <w:r w:rsidRPr="0047288F">
        <w:t xml:space="preserve"> </w:t>
      </w:r>
      <w:r>
        <w:t xml:space="preserve">на Изделия установлены в соответствии с </w:t>
      </w:r>
      <w:r w:rsidRPr="0022690F">
        <w:rPr>
          <w:lang w:eastAsia="ar-SA"/>
        </w:rPr>
        <w:t xml:space="preserve">ГОСТ </w:t>
      </w:r>
      <w:proofErr w:type="gramStart"/>
      <w:r w:rsidRPr="0022690F">
        <w:rPr>
          <w:lang w:eastAsia="ar-SA"/>
        </w:rPr>
        <w:t>Р</w:t>
      </w:r>
      <w:proofErr w:type="gramEnd"/>
      <w:r w:rsidRPr="0022690F">
        <w:rPr>
          <w:lang w:eastAsia="ar-SA"/>
        </w:rPr>
        <w:t xml:space="preserve"> 54407-2011 «Обувь ортопедическая. Общие технические условия».</w:t>
      </w:r>
      <w:r w:rsidRPr="00510EB4">
        <w:rPr>
          <w:lang w:eastAsia="ar-SA"/>
        </w:rPr>
        <w:t xml:space="preserve"> </w:t>
      </w:r>
      <w:r w:rsidRPr="00510EB4">
        <w:rPr>
          <w:lang w:eastAsia="ar-SA"/>
        </w:rPr>
        <w:lastRenderedPageBreak/>
        <w:t xml:space="preserve">Срок выполнения гарантийного ремонта со дня обращения Получателя не должен превышать 15 </w:t>
      </w:r>
      <w:r>
        <w:rPr>
          <w:lang w:eastAsia="ar-SA"/>
        </w:rPr>
        <w:t xml:space="preserve">(пятнадцати) </w:t>
      </w:r>
      <w:r w:rsidRPr="00510EB4">
        <w:rPr>
          <w:lang w:eastAsia="ar-SA"/>
        </w:rPr>
        <w:t xml:space="preserve">рабочих дней.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rPr>
          <w:lang w:eastAsia="ar-SA"/>
        </w:rPr>
        <w:t>З</w:t>
      </w:r>
      <w:r w:rsidRPr="00510EB4">
        <w:rPr>
          <w:lang w:eastAsia="ar-SA"/>
        </w:rPr>
        <w:t xml:space="preserve">аконом </w:t>
      </w:r>
      <w:r>
        <w:rPr>
          <w:lang w:eastAsia="ar-SA"/>
        </w:rPr>
        <w:t xml:space="preserve">Российской Федерации </w:t>
      </w:r>
      <w:r w:rsidRPr="00510EB4">
        <w:rPr>
          <w:lang w:eastAsia="ar-SA"/>
        </w:rPr>
        <w:t>от 07.02.1992 № 2300-1 «О защите прав потребителей». В случае невозможности осуществления ремонта Изделий в период гарантийного срока Исполнитель должен осуществить замену такого Изделия.</w:t>
      </w:r>
      <w:r w:rsidRPr="00DE13E9">
        <w:t xml:space="preserve"> </w:t>
      </w:r>
      <w:r>
        <w:t xml:space="preserve">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 </w:t>
      </w:r>
    </w:p>
    <w:p w:rsidR="00AD0C85" w:rsidRDefault="00AD0C85" w:rsidP="00AD0C85">
      <w:pPr>
        <w:suppressAutoHyphens/>
        <w:spacing w:line="240" w:lineRule="atLeast"/>
        <w:jc w:val="both"/>
      </w:pPr>
      <w:r w:rsidRPr="008F428C">
        <w:t>Прием Получателей по вопросам, касающимся выдачи и гарантийного ремонта Изделий, осуществляется Поставщиком по месту нахождения организованных Поставщиком пунктов приема (не менее 1 (одного)) на территории</w:t>
      </w:r>
      <w:r w:rsidRPr="0014478F">
        <w:t xml:space="preserve"> Санкт-Петербурга.</w:t>
      </w:r>
    </w:p>
    <w:p w:rsidR="00AD0C85" w:rsidRDefault="00AD0C85" w:rsidP="00AD0C85">
      <w:pPr>
        <w:jc w:val="both"/>
        <w:rPr>
          <w:b/>
          <w:lang w:eastAsia="ar-SA"/>
        </w:rPr>
      </w:pPr>
    </w:p>
    <w:p w:rsidR="00AD0C85" w:rsidRPr="00612097" w:rsidRDefault="00AD0C85" w:rsidP="00AD0C85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AD0C85" w:rsidRPr="00652ECD" w:rsidRDefault="00AD0C85" w:rsidP="00AD0C85">
      <w:pPr>
        <w:jc w:val="both"/>
      </w:pPr>
      <w:r>
        <w:rPr>
          <w:lang w:eastAsia="ar-SA"/>
        </w:rPr>
        <w:t>2</w:t>
      </w:r>
      <w:r w:rsidRPr="001B08B9">
        <w:rPr>
          <w:lang w:eastAsia="ar-SA"/>
        </w:rPr>
        <w:t xml:space="preserve">.1. </w:t>
      </w:r>
      <w:r>
        <w:t>Поставлять Изделие для Получателя. Изделие должно иметь действующее регистрационное удостоверение, выданное Федеральной службой по надзору в сфере здравоохранения. 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AD0C85" w:rsidRDefault="00AD0C85" w:rsidP="00AD0C85">
      <w:pPr>
        <w:jc w:val="both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AD0C85" w:rsidRDefault="00AD0C85" w:rsidP="00AD0C85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D0C85" w:rsidRDefault="00AD0C85" w:rsidP="00AD0C85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AD0C85" w:rsidRDefault="00AD0C85" w:rsidP="00AD0C85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AD0C85" w:rsidRDefault="00AD0C85" w:rsidP="00AD0C85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D0C85" w:rsidRDefault="00AD0C85" w:rsidP="00AD0C85">
      <w:pPr>
        <w:widowControl w:val="0"/>
        <w:jc w:val="both"/>
        <w:rPr>
          <w:bCs/>
        </w:rPr>
      </w:pPr>
      <w:r w:rsidRPr="00F43083">
        <w:t xml:space="preserve">2.3. </w:t>
      </w:r>
      <w:r w:rsidRPr="003F39FE">
        <w:rPr>
          <w:lang w:eastAsia="ar-SA"/>
        </w:rPr>
        <w:t>Поставщик обязан</w:t>
      </w:r>
      <w:r w:rsidRPr="003F39FE">
        <w:t xml:space="preserve"> осуществлять индивидуальный подбор с учетом особенностей стопы,</w:t>
      </w:r>
      <w:r w:rsidRPr="003F39FE">
        <w:rPr>
          <w:sz w:val="23"/>
          <w:szCs w:val="23"/>
          <w:lang w:eastAsia="ar-SA"/>
        </w:rPr>
        <w:t xml:space="preserve"> </w:t>
      </w:r>
      <w:r>
        <w:rPr>
          <w:sz w:val="23"/>
          <w:szCs w:val="23"/>
          <w:lang w:eastAsia="ar-SA"/>
        </w:rPr>
        <w:t>пола инвалида, размера</w:t>
      </w:r>
      <w:r w:rsidRPr="003F39FE">
        <w:rPr>
          <w:sz w:val="23"/>
          <w:szCs w:val="23"/>
          <w:lang w:eastAsia="ar-SA"/>
        </w:rPr>
        <w:t xml:space="preserve"> обуви.</w:t>
      </w:r>
    </w:p>
    <w:p w:rsidR="00AD0C85" w:rsidRDefault="00AD0C85" w:rsidP="00AD0C85">
      <w:pPr>
        <w:jc w:val="both"/>
        <w:rPr>
          <w:sz w:val="22"/>
          <w:szCs w:val="22"/>
        </w:rPr>
      </w:pPr>
      <w:r>
        <w:t xml:space="preserve">2.4. Давать справки Получателям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AD0C85" w:rsidRDefault="00AD0C85" w:rsidP="00AD0C85">
      <w:pPr>
        <w:jc w:val="both"/>
      </w:pPr>
      <w:proofErr w:type="gramStart"/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AD0C85" w:rsidRDefault="00AD0C85" w:rsidP="00AD0C85">
      <w:pPr>
        <w:jc w:val="both"/>
        <w:rPr>
          <w:szCs w:val="28"/>
        </w:rPr>
      </w:pPr>
      <w:r>
        <w:rPr>
          <w:szCs w:val="28"/>
        </w:rPr>
        <w:lastRenderedPageBreak/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AD0C85" w:rsidRPr="0014478F" w:rsidRDefault="00AD0C85" w:rsidP="00AD0C85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AD0C85" w:rsidRDefault="00AD0C85" w:rsidP="00AD0C85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  <w:r w:rsidRPr="00F43083">
        <w:rPr>
          <w:szCs w:val="28"/>
        </w:rPr>
        <w:t xml:space="preserve"> </w:t>
      </w:r>
      <w:r w:rsidRPr="006E1F77">
        <w:rPr>
          <w:szCs w:val="28"/>
        </w:rPr>
        <w:t xml:space="preserve">Информировать </w:t>
      </w:r>
      <w:r w:rsidRPr="006E1F77">
        <w:t>Заказчика</w:t>
      </w:r>
      <w:r w:rsidRPr="006E1F77">
        <w:rPr>
          <w:szCs w:val="28"/>
        </w:rPr>
        <w:t xml:space="preserve"> </w:t>
      </w:r>
      <w:r w:rsidRPr="006E1F77">
        <w:t xml:space="preserve">о невозможности предоставления Изделия Получателю </w:t>
      </w:r>
      <w:r w:rsidRPr="006E1F77">
        <w:rPr>
          <w:szCs w:val="28"/>
        </w:rPr>
        <w:t>не позднее дня, следующего за днем доставки, согласованным с Получателем</w:t>
      </w:r>
      <w:r w:rsidRPr="006E1F77">
        <w:t>.</w:t>
      </w:r>
    </w:p>
    <w:p w:rsidR="00AD0C85" w:rsidRDefault="00AD0C85" w:rsidP="00AD0C85">
      <w:pPr>
        <w:jc w:val="both"/>
      </w:pPr>
      <w: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AD0C85" w:rsidRPr="008F428C" w:rsidRDefault="00AD0C85" w:rsidP="00AD0C85">
      <w:pPr>
        <w:jc w:val="both"/>
      </w:pPr>
      <w:r>
        <w:t>2.7</w:t>
      </w:r>
      <w:r w:rsidRPr="008F428C">
        <w:t xml:space="preserve">. Давать справки Получателям по вопросам, связанным с поставкой Изделий, в часы работы пунктов приема. </w:t>
      </w:r>
    </w:p>
    <w:p w:rsidR="00AD0C85" w:rsidRPr="008F428C" w:rsidRDefault="00AD0C85" w:rsidP="00AD0C85"/>
    <w:p w:rsidR="00AD0C85" w:rsidRPr="008F428C" w:rsidRDefault="00AD0C85" w:rsidP="00AD0C85">
      <w:pPr>
        <w:suppressAutoHyphens/>
        <w:spacing w:line="240" w:lineRule="atLeast"/>
        <w:jc w:val="both"/>
        <w:rPr>
          <w:b/>
        </w:rPr>
      </w:pPr>
      <w:r w:rsidRPr="008F428C">
        <w:rPr>
          <w:b/>
        </w:rPr>
        <w:t>3. Способ поставки:</w:t>
      </w:r>
    </w:p>
    <w:p w:rsidR="00AD0C85" w:rsidRDefault="00AD0C85" w:rsidP="00AD0C85">
      <w:pPr>
        <w:suppressAutoHyphens/>
        <w:spacing w:line="240" w:lineRule="atLeast"/>
        <w:jc w:val="both"/>
      </w:pPr>
      <w:r w:rsidRPr="008F428C">
        <w:t>3.1. Поставщик передает Изделия</w:t>
      </w:r>
      <w:r>
        <w:t xml:space="preserve"> Получателям следующими способами: </w:t>
      </w:r>
    </w:p>
    <w:p w:rsidR="00AD0C85" w:rsidRDefault="00AD0C85" w:rsidP="00AD0C85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AD0C85" w:rsidRDefault="00AD0C85" w:rsidP="00AD0C85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AD0C85" w:rsidRPr="0014478F" w:rsidRDefault="00AD0C85" w:rsidP="00AD0C85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  <w:r w:rsidRPr="0081434E">
        <w:rPr>
          <w:sz w:val="23"/>
          <w:szCs w:val="23"/>
          <w:lang w:eastAsia="ar-SA"/>
        </w:rPr>
        <w:t xml:space="preserve"> </w:t>
      </w:r>
    </w:p>
    <w:p w:rsidR="00AD0C85" w:rsidRDefault="00AD0C85" w:rsidP="00AD0C85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AD0C85" w:rsidRPr="0014478F" w:rsidRDefault="00AD0C85" w:rsidP="00AD0C85">
      <w:pPr>
        <w:suppressAutoHyphens/>
        <w:spacing w:line="240" w:lineRule="atLeast"/>
        <w:jc w:val="both"/>
      </w:pPr>
      <w:r w:rsidRPr="0014478F">
        <w:t>Колич</w:t>
      </w:r>
      <w:r>
        <w:t>ество пунктов приема – не менее</w:t>
      </w:r>
      <w:r w:rsidRPr="0014478F">
        <w:t xml:space="preserve"> </w:t>
      </w:r>
      <w:r>
        <w:t>1</w:t>
      </w:r>
      <w:r w:rsidRPr="0014478F">
        <w:t xml:space="preserve"> (</w:t>
      </w:r>
      <w:r>
        <w:t>одного</w:t>
      </w:r>
      <w:r w:rsidRPr="0014478F">
        <w:t xml:space="preserve">). Максимальное время ожидания Получателей в очереди не должно превышать </w:t>
      </w:r>
      <w:r>
        <w:t>15</w:t>
      </w:r>
      <w:r w:rsidRPr="0014478F">
        <w:t xml:space="preserve"> минут.</w:t>
      </w:r>
    </w:p>
    <w:p w:rsidR="00AD0C85" w:rsidRPr="0014478F" w:rsidRDefault="00AD0C85" w:rsidP="00AD0C85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AD0C85" w:rsidRPr="0014478F" w:rsidRDefault="00AD0C85" w:rsidP="00AD0C85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</w:t>
      </w:r>
      <w:r w:rsidRPr="008F428C">
        <w:t>иными приспособлениями для облегчения передвижения инвалидов). Пункты приема должны иметь туалетные комнаты, оборудованные для посещения инвалидами, со свободным и бесплатным доступом Получателей</w:t>
      </w:r>
      <w:r w:rsidRPr="0014478F">
        <w:t>.</w:t>
      </w:r>
    </w:p>
    <w:p w:rsidR="00AD0C85" w:rsidRDefault="00AD0C85" w:rsidP="00AD0C85">
      <w:pPr>
        <w:jc w:val="both"/>
      </w:pPr>
      <w:r>
        <w:t xml:space="preserve">3.2.3.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AD0C85" w:rsidRPr="0014478F" w:rsidRDefault="00AD0C85" w:rsidP="00AD0C85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</w:t>
      </w:r>
      <w:r w:rsidRPr="008F428C">
        <w:t xml:space="preserve">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8F428C">
        <w:t>с даты обращения</w:t>
      </w:r>
      <w:proofErr w:type="gramEnd"/>
      <w:r w:rsidRPr="008F428C">
        <w:t xml:space="preserve"> Получателя.</w:t>
      </w:r>
    </w:p>
    <w:p w:rsidR="00AD0C85" w:rsidRDefault="00AD0C85" w:rsidP="00AD0C85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AD0C85" w:rsidRDefault="00AD0C85" w:rsidP="00AD0C85">
      <w:pPr>
        <w:jc w:val="both"/>
      </w:pPr>
    </w:p>
    <w:p w:rsidR="00AD0C85" w:rsidRPr="008F428C" w:rsidRDefault="00AD0C85" w:rsidP="00AD0C85">
      <w:pPr>
        <w:jc w:val="both"/>
      </w:pPr>
      <w:r w:rsidRPr="008F428C">
        <w:lastRenderedPageBreak/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AD0C85" w:rsidRPr="008F428C" w:rsidRDefault="00AD0C85" w:rsidP="00AD0C85">
      <w:pPr>
        <w:jc w:val="both"/>
      </w:pPr>
      <w:r w:rsidRPr="008F428C">
        <w:t>При проведении выборочной проверки Заказчик вправе осуществлять видеозапись.</w:t>
      </w:r>
    </w:p>
    <w:p w:rsidR="00AD0C85" w:rsidRPr="00FA549C" w:rsidRDefault="00AD0C85" w:rsidP="00AD0C85">
      <w:pPr>
        <w:jc w:val="both"/>
        <w:rPr>
          <w:lang w:eastAsia="ar-SA"/>
        </w:rPr>
      </w:pPr>
      <w:r w:rsidRPr="008F428C">
        <w:t xml:space="preserve">В день, следующий за днем заключения контракта, на пунктах приема должно находиться не </w:t>
      </w:r>
      <w:r w:rsidRPr="000B659E">
        <w:t xml:space="preserve">менее 10% от общего количества товара каждого </w:t>
      </w:r>
      <w:r>
        <w:t>наименования</w:t>
      </w:r>
      <w:r w:rsidRPr="000B659E">
        <w:t>, предусмотренного контрактом</w:t>
      </w:r>
      <w:r>
        <w:t>. 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FA14C1" w:rsidRDefault="00FA14C1">
      <w:bookmarkStart w:id="0" w:name="_GoBack"/>
      <w:bookmarkEnd w:id="0"/>
    </w:p>
    <w:sectPr w:rsidR="00FA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85" w:rsidRDefault="00AD0C85" w:rsidP="00AD0C85">
      <w:r>
        <w:separator/>
      </w:r>
    </w:p>
  </w:endnote>
  <w:endnote w:type="continuationSeparator" w:id="0">
    <w:p w:rsidR="00AD0C85" w:rsidRDefault="00AD0C85" w:rsidP="00AD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85" w:rsidRDefault="00AD0C85" w:rsidP="00AD0C85">
      <w:r>
        <w:separator/>
      </w:r>
    </w:p>
  </w:footnote>
  <w:footnote w:type="continuationSeparator" w:id="0">
    <w:p w:rsidR="00AD0C85" w:rsidRDefault="00AD0C85" w:rsidP="00AD0C85">
      <w:r>
        <w:continuationSeparator/>
      </w:r>
    </w:p>
  </w:footnote>
  <w:footnote w:id="1">
    <w:p w:rsidR="00AD0C85" w:rsidRPr="004D2FEC" w:rsidRDefault="00AD0C85" w:rsidP="00AD0C8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AD0C85" w:rsidRDefault="00AD0C85" w:rsidP="00AD0C8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B5"/>
    <w:rsid w:val="007335B5"/>
    <w:rsid w:val="00AD0C85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0C8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0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D0C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0C8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0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D0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2</cp:revision>
  <dcterms:created xsi:type="dcterms:W3CDTF">2018-09-26T12:51:00Z</dcterms:created>
  <dcterms:modified xsi:type="dcterms:W3CDTF">2018-09-26T12:59:00Z</dcterms:modified>
</cp:coreProperties>
</file>