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B8" w:rsidRPr="00695F71" w:rsidRDefault="004C60B4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РАЗДЕЛ III.  ТЕХНИЧЕСКОЕ ЗАДАНИЕ</w:t>
      </w: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71" w:rsidRPr="00695F71">
        <w:rPr>
          <w:rFonts w:ascii="Times New Roman" w:hAnsi="Times New Roman" w:cs="Times New Roman"/>
          <w:sz w:val="24"/>
          <w:szCs w:val="24"/>
        </w:rPr>
        <w:t>Выполнение работ по обеспечению инвалидов и отдельных категорий граждан из числа ветеранов в 2018 году протезами нижних конечностей</w:t>
      </w:r>
    </w:p>
    <w:tbl>
      <w:tblPr>
        <w:tblpPr w:leftFromText="180" w:rightFromText="180" w:vertAnchor="text" w:horzAnchor="margin" w:tblpXSpec="center" w:tblpY="3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7937"/>
        <w:gridCol w:w="851"/>
      </w:tblGrid>
      <w:tr w:rsidR="00695F71" w:rsidRPr="00B509B0" w:rsidTr="00695F71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усл.ед</w:t>
            </w:r>
            <w:proofErr w:type="spell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509B0" w:rsidRPr="00B509B0" w:rsidTr="000227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модульный  для купания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 Протез бедра модульный для купания. Специальный. Пробная приемная гильза по слепку из термопласта, постоянная приемная гильза по слепку из литьевого слоистого пластика на основе акриловых смол, стопа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, монолитная, влагозащищенная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водостойкий замковый. Регулировочно-соединительные устройства - титан, влагозащищенные, на нагрузку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соответствуюшие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весу пациента. Крепление за счет вакуума.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0227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шт.). Материал постоянной гильзы: литьевой слоистый пластик на основе акриловых смол. Крепление протеза вакуумное с использованием бандажа или пояса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Регулировочно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оединительное устройство должно соответствовать весу инвалида. Стопа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полиуретановая. Коленный шарнир  полицентрический, титановый, для пациентов с экзартикуляцией в коленном суставе.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0227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Протез бедра модульный. Формообразующая часть </w:t>
            </w:r>
            <w:proofErr w:type="gram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косметической</w:t>
            </w:r>
            <w:proofErr w:type="gram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оболочка - модульная мягкая  полиуретановая. Косметическое покрытие  облицовки - чулки  ортопедические </w:t>
            </w:r>
            <w:proofErr w:type="spellStart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  Приемная гильза  индивидуальная 1 шт. (пробная  гильза 1 шт.).</w:t>
            </w:r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Пробная       (примерочная) гильза изготавливается из листового жесткого </w:t>
            </w:r>
            <w:proofErr w:type="spellStart"/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B509B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антибактериального материала - 1 шт.).</w:t>
            </w:r>
            <w:proofErr w:type="gramEnd"/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Материал индивидуальной  постоянной гильзы: литьевой пластик на основе акриловых смол,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листовой термопластичный пластик</w:t>
            </w:r>
            <w:r w:rsidRPr="00B509B0">
              <w:rPr>
                <w:rFonts w:ascii="Times New Roman" w:eastAsia="Arial" w:hAnsi="Times New Roman" w:cs="Times New Roman"/>
                <w:sz w:val="20"/>
                <w:szCs w:val="20"/>
              </w:rPr>
              <w:t>. Вкладной  чехол выполняется из антибактериального термопласта, включающего присадки серебра.  Крепление протеза вакуумное с использованием бандажа. Регулировочно-соединительное устройство  должно соответствовать весу инвалида.  Стопа со средней степенью энергосбережения.  Коленный шарнир полицентрический с пневматическим управлением фазой переноса.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0227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 модульного типа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. Приемная гильза индивидуальная 1 шт. (пробная гильза 1 шт.). Материал постоянной гильзы: литьевой слоистый пластик на основе акриловых смол. Крепление протеза вакуумное с использованием бандажа или пояса </w:t>
            </w:r>
            <w:proofErr w:type="spellStart"/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Регулировочно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- соединительное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должно соответствовать весу инвалида. Стопа 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полиуретановая. Коленный шарнир     механический полицентрический.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509B0" w:rsidRPr="00B509B0" w:rsidTr="0002275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модульный, для купания, с несущей приемной гильзой из слоистого пластика на основе акриловых смол. Стопа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влагозащищенная  рифленым профилем подошвы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ез косметической облицовки. Комплектующие и РС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влагозащищенный материал  на нагрузку  соответствующую  весу   пациента.  Вкладная гильза из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вспенных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материалов. Крепление  с помощью наколенника.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09B0" w:rsidRPr="00B509B0" w:rsidTr="00695F7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Лечебно-тренировочный  протез голени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лечебно-тренировочный. Приемная  гильза индивидуальная 3шт. Материал индивидуальной  гильзы технологичные термопласты: полиэтилен высокого давления, полиэтилен низкого давления, полипропилен. Крепление  протеза с использованием  кожаных полуфабрикатов.  </w:t>
            </w:r>
            <w:proofErr w:type="spellStart"/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Регулировочно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– соединительные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должны соответствовать  весу инвалида. Стопа облегченная, без шарнира с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подпяточным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  клином или стопа с голеностопным шарниром подвижным в сагиттальной  плоскости.</w:t>
            </w:r>
          </w:p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09B0" w:rsidRPr="00B509B0" w:rsidTr="00695F7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бедра лечебно-тренировочный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 лечебно-тренировочный.  Приемная  гильза индивидуальная  3 шт. Материал индивидуальной гильзы 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ехнологичные термопласты: полиэтилен высокого давления, полиэтилен низкого давления, полипропилен.  Крепление  протеза  с  использованием кожаных  полуфабрикатов. Регулировочно-соединительные  устройства должны соответствовать весу инвалида.  Стопа облегченная, без шарнира с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подпяточным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клином или стопа  с голеностопным  шарниром подвижным в сагиттальной плоскости. Коленный шарнир  назначается по уровню активности пациента.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B509B0" w:rsidRPr="00B509B0" w:rsidTr="00695F7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немодульного типа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0" w:rsidRPr="00B509B0" w:rsidRDefault="00B509B0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, с металлической щиколоткой. Без косметической облицовки и оболочки. Приемная гильза унифицированная или индивидуальная. Материал приемной гильзы: кожа. Без вкладной гильзы. Метод крепления протеза: с использованием гильзы (манжеты с шинами) бедра   с использованием кожаных полуфабрикатов.   Стопа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деревянно-фильцевая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,   стопа </w:t>
            </w:r>
            <w:proofErr w:type="spellStart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бесшарнирная</w:t>
            </w:r>
            <w:proofErr w:type="spellEnd"/>
            <w:r w:rsidRPr="00B509B0">
              <w:rPr>
                <w:rFonts w:ascii="Times New Roman" w:hAnsi="Times New Roman" w:cs="Times New Roman"/>
                <w:sz w:val="20"/>
                <w:szCs w:val="20"/>
              </w:rPr>
              <w:t xml:space="preserve"> полиуретановая, монолитная. Тип протеза по назначению: любой.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0" w:rsidRPr="00B509B0" w:rsidRDefault="00B509B0" w:rsidP="00B50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5F71" w:rsidRPr="00B509B0" w:rsidTr="00695F71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695F71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71" w:rsidRPr="00B509B0" w:rsidRDefault="00B509B0" w:rsidP="00B509B0">
            <w:pPr>
              <w:tabs>
                <w:tab w:val="left" w:pos="9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695F71" w:rsidRPr="00695F71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695F71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53869-2010 «Протезы нижних конечностей. Технические требования»</w:t>
      </w:r>
      <w:r w:rsidRPr="00695F71">
        <w:rPr>
          <w:rFonts w:ascii="Times New Roman" w:hAnsi="Times New Roman" w:cs="Times New Roman"/>
          <w:sz w:val="24"/>
          <w:szCs w:val="24"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695F7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95F7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Приемная гильза протеза 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695F71" w:rsidRPr="00695F71" w:rsidRDefault="00695F71" w:rsidP="00695F7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  <w:r w:rsidRPr="0069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71" w:rsidRPr="00695F71" w:rsidRDefault="00695F71" w:rsidP="00695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ИСО 22523-2007 «Протезы конечностей и </w:t>
      </w:r>
      <w:proofErr w:type="spell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F71" w:rsidRPr="00695F71" w:rsidRDefault="00695F71" w:rsidP="00695F71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695F71">
        <w:rPr>
          <w:color w:val="000000"/>
          <w:sz w:val="24"/>
          <w:szCs w:val="24"/>
        </w:rPr>
        <w:lastRenderedPageBreak/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69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695F71">
        <w:rPr>
          <w:rFonts w:ascii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- протезы бедра, голени – не менее 9 месяцев.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приема-передачи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DD6316" w:rsidRDefault="00DD6316"/>
    <w:sectPr w:rsidR="00DD6316" w:rsidSect="00D5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5F71"/>
    <w:rsid w:val="004C60B4"/>
    <w:rsid w:val="00695F71"/>
    <w:rsid w:val="008B442A"/>
    <w:rsid w:val="00B509B0"/>
    <w:rsid w:val="00D52DF2"/>
    <w:rsid w:val="00DD6316"/>
    <w:rsid w:val="00E4266D"/>
    <w:rsid w:val="00E4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GETOEVA</dc:creator>
  <cp:keywords/>
  <dc:description/>
  <cp:lastModifiedBy>GETOEVA</cp:lastModifiedBy>
  <cp:revision>4</cp:revision>
  <dcterms:created xsi:type="dcterms:W3CDTF">2018-02-09T12:07:00Z</dcterms:created>
  <dcterms:modified xsi:type="dcterms:W3CDTF">2018-05-03T13:30:00Z</dcterms:modified>
</cp:coreProperties>
</file>