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Pr="00506BF7" w:rsidRDefault="003B5791" w:rsidP="00020220">
      <w:pPr>
        <w:tabs>
          <w:tab w:val="left" w:pos="4395"/>
        </w:tabs>
        <w:jc w:val="center"/>
        <w:rPr>
          <w:b/>
          <w:sz w:val="23"/>
          <w:szCs w:val="23"/>
        </w:rPr>
      </w:pPr>
      <w:r w:rsidRPr="00506BF7">
        <w:rPr>
          <w:b/>
          <w:sz w:val="23"/>
          <w:szCs w:val="23"/>
        </w:rPr>
        <w:t>Описание объекта закупки</w:t>
      </w:r>
    </w:p>
    <w:p w:rsidR="003B5791" w:rsidRPr="00506BF7" w:rsidRDefault="00343C51" w:rsidP="00457915">
      <w:pPr>
        <w:jc w:val="center"/>
        <w:rPr>
          <w:b/>
          <w:sz w:val="23"/>
          <w:szCs w:val="23"/>
        </w:rPr>
      </w:pPr>
      <w:r w:rsidRPr="00506BF7">
        <w:rPr>
          <w:b/>
          <w:sz w:val="23"/>
          <w:szCs w:val="23"/>
        </w:rPr>
        <w:t>Выполнение работ по изготовлению</w:t>
      </w:r>
      <w:r w:rsidR="003B5791" w:rsidRPr="00506BF7">
        <w:rPr>
          <w:b/>
          <w:sz w:val="23"/>
          <w:szCs w:val="23"/>
        </w:rPr>
        <w:t xml:space="preserve"> </w:t>
      </w:r>
      <w:r w:rsidR="004911C9" w:rsidRPr="00506BF7">
        <w:rPr>
          <w:b/>
          <w:sz w:val="23"/>
          <w:szCs w:val="23"/>
        </w:rPr>
        <w:t>протез</w:t>
      </w:r>
      <w:r w:rsidRPr="00506BF7">
        <w:rPr>
          <w:b/>
          <w:sz w:val="23"/>
          <w:szCs w:val="23"/>
        </w:rPr>
        <w:t>ов</w:t>
      </w:r>
      <w:r w:rsidR="004C519C" w:rsidRPr="00506BF7">
        <w:rPr>
          <w:b/>
          <w:sz w:val="23"/>
          <w:szCs w:val="23"/>
        </w:rPr>
        <w:t xml:space="preserve"> для инвал</w:t>
      </w:r>
      <w:r w:rsidR="008C79C9" w:rsidRPr="00506BF7">
        <w:rPr>
          <w:b/>
          <w:sz w:val="23"/>
          <w:szCs w:val="23"/>
        </w:rPr>
        <w:t>ид</w:t>
      </w:r>
      <w:r w:rsidRPr="00506BF7">
        <w:rPr>
          <w:b/>
          <w:sz w:val="23"/>
          <w:szCs w:val="23"/>
        </w:rPr>
        <w:t>ов</w:t>
      </w:r>
      <w:r w:rsidR="008C79C9" w:rsidRPr="00506BF7">
        <w:rPr>
          <w:b/>
          <w:sz w:val="23"/>
          <w:szCs w:val="23"/>
        </w:rPr>
        <w:t xml:space="preserve"> Республики Крым.</w:t>
      </w:r>
    </w:p>
    <w:p w:rsidR="003B5791" w:rsidRPr="00506BF7" w:rsidRDefault="003B5791" w:rsidP="00457915">
      <w:pPr>
        <w:pStyle w:val="text"/>
        <w:widowControl w:val="0"/>
        <w:tabs>
          <w:tab w:val="left" w:pos="2783"/>
        </w:tabs>
        <w:suppressAutoHyphens/>
        <w:ind w:left="0" w:right="0" w:firstLine="709"/>
        <w:jc w:val="both"/>
        <w:rPr>
          <w:rFonts w:ascii="Times New Roman" w:hAnsi="Times New Roman" w:cs="Times New Roman"/>
          <w:sz w:val="23"/>
          <w:szCs w:val="23"/>
        </w:rPr>
      </w:pPr>
      <w:r w:rsidRPr="00506BF7">
        <w:rPr>
          <w:rFonts w:ascii="Times New Roman" w:hAnsi="Times New Roman" w:cs="Times New Roman"/>
          <w:sz w:val="23"/>
          <w:szCs w:val="23"/>
        </w:rPr>
        <w:tab/>
      </w:r>
    </w:p>
    <w:p w:rsidR="003B5791" w:rsidRPr="00506BF7" w:rsidRDefault="003B5791" w:rsidP="00457915">
      <w:pPr>
        <w:pStyle w:val="text"/>
        <w:widowControl w:val="0"/>
        <w:tabs>
          <w:tab w:val="left" w:pos="2783"/>
        </w:tabs>
        <w:suppressAutoHyphens/>
        <w:ind w:left="0" w:right="0" w:firstLine="709"/>
        <w:jc w:val="center"/>
        <w:rPr>
          <w:rFonts w:ascii="Times New Roman" w:hAnsi="Times New Roman" w:cs="Times New Roman"/>
          <w:b/>
          <w:sz w:val="23"/>
          <w:szCs w:val="23"/>
        </w:rPr>
      </w:pPr>
      <w:r w:rsidRPr="00506BF7">
        <w:rPr>
          <w:rFonts w:ascii="Times New Roman" w:hAnsi="Times New Roman" w:cs="Times New Roman"/>
          <w:b/>
          <w:sz w:val="23"/>
          <w:szCs w:val="23"/>
        </w:rPr>
        <w:t>Требования к качеству работ</w:t>
      </w:r>
    </w:p>
    <w:p w:rsidR="00275956" w:rsidRPr="00506BF7" w:rsidRDefault="00343C51" w:rsidP="00457915">
      <w:pPr>
        <w:ind w:firstLine="708"/>
        <w:jc w:val="both"/>
        <w:rPr>
          <w:rFonts w:eastAsia="DejaVu Sans"/>
          <w:sz w:val="23"/>
          <w:szCs w:val="23"/>
        </w:rPr>
      </w:pPr>
      <w:r w:rsidRPr="00506BF7">
        <w:rPr>
          <w:sz w:val="23"/>
          <w:szCs w:val="23"/>
          <w:lang w:eastAsia="ru-RU"/>
        </w:rPr>
        <w:t>Протез</w:t>
      </w:r>
      <w:r w:rsidR="00942956" w:rsidRPr="00506BF7">
        <w:rPr>
          <w:sz w:val="23"/>
          <w:szCs w:val="23"/>
          <w:lang w:eastAsia="ru-RU"/>
        </w:rPr>
        <w:t>ы</w:t>
      </w:r>
      <w:r w:rsidRPr="00506BF7">
        <w:rPr>
          <w:sz w:val="23"/>
          <w:szCs w:val="23"/>
          <w:lang w:eastAsia="ru-RU"/>
        </w:rPr>
        <w:t xml:space="preserve"> </w:t>
      </w:r>
      <w:r w:rsidR="007815C5" w:rsidRPr="00506BF7">
        <w:rPr>
          <w:sz w:val="23"/>
          <w:szCs w:val="23"/>
        </w:rPr>
        <w:t>долж</w:t>
      </w:r>
      <w:r w:rsidRPr="00506BF7">
        <w:rPr>
          <w:sz w:val="23"/>
          <w:szCs w:val="23"/>
        </w:rPr>
        <w:t>н</w:t>
      </w:r>
      <w:r w:rsidR="00942956" w:rsidRPr="00506BF7">
        <w:rPr>
          <w:sz w:val="23"/>
          <w:szCs w:val="23"/>
        </w:rPr>
        <w:t>ы</w:t>
      </w:r>
      <w:r w:rsidR="003B5791" w:rsidRPr="00506BF7">
        <w:rPr>
          <w:sz w:val="23"/>
          <w:szCs w:val="23"/>
        </w:rPr>
        <w:t xml:space="preserve">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w:t>
      </w:r>
      <w:r w:rsidR="00F03A60" w:rsidRPr="00506BF7">
        <w:rPr>
          <w:sz w:val="23"/>
          <w:szCs w:val="23"/>
        </w:rPr>
        <w:t xml:space="preserve">», </w:t>
      </w:r>
      <w:r w:rsidR="00942956" w:rsidRPr="00506BF7">
        <w:rPr>
          <w:rFonts w:eastAsia="DejaVu Sans"/>
          <w:sz w:val="23"/>
          <w:szCs w:val="23"/>
        </w:rPr>
        <w:t xml:space="preserve">ГОСТ Р ИСО 22523-2007 «Протезы конечностей и </w:t>
      </w:r>
      <w:proofErr w:type="spellStart"/>
      <w:r w:rsidR="00942956" w:rsidRPr="00506BF7">
        <w:rPr>
          <w:rFonts w:eastAsia="DejaVu Sans"/>
          <w:sz w:val="23"/>
          <w:szCs w:val="23"/>
        </w:rPr>
        <w:t>ортезы</w:t>
      </w:r>
      <w:proofErr w:type="spellEnd"/>
      <w:r w:rsidR="00942956" w:rsidRPr="00506BF7">
        <w:rPr>
          <w:rFonts w:eastAsia="DejaVu Sans"/>
          <w:sz w:val="23"/>
          <w:szCs w:val="23"/>
        </w:rPr>
        <w:t xml:space="preserve"> наружные».</w:t>
      </w:r>
    </w:p>
    <w:p w:rsidR="003B5791" w:rsidRPr="00506BF7" w:rsidRDefault="003B5791" w:rsidP="00457915">
      <w:pPr>
        <w:pStyle w:val="text"/>
        <w:widowControl w:val="0"/>
        <w:suppressAutoHyphens/>
        <w:ind w:left="0" w:right="0" w:firstLine="709"/>
        <w:jc w:val="center"/>
        <w:rPr>
          <w:rFonts w:ascii="Times New Roman" w:hAnsi="Times New Roman" w:cs="Times New Roman"/>
          <w:b/>
          <w:sz w:val="23"/>
          <w:szCs w:val="23"/>
        </w:rPr>
      </w:pPr>
      <w:r w:rsidRPr="00506BF7">
        <w:rPr>
          <w:rFonts w:ascii="Times New Roman" w:hAnsi="Times New Roman" w:cs="Times New Roman"/>
          <w:b/>
          <w:sz w:val="23"/>
          <w:szCs w:val="23"/>
        </w:rPr>
        <w:t>Требования к техническим характеристикам</w:t>
      </w:r>
    </w:p>
    <w:p w:rsidR="00DB7ECF" w:rsidRPr="00506BF7" w:rsidRDefault="003B5791" w:rsidP="00DB7ECF">
      <w:pPr>
        <w:widowControl w:val="0"/>
        <w:ind w:firstLine="709"/>
        <w:jc w:val="both"/>
        <w:rPr>
          <w:sz w:val="23"/>
          <w:szCs w:val="23"/>
        </w:rPr>
      </w:pPr>
      <w:r w:rsidRPr="00506BF7">
        <w:rPr>
          <w:sz w:val="23"/>
          <w:szCs w:val="23"/>
        </w:rPr>
        <w:t>Протез</w:t>
      </w:r>
      <w:r w:rsidR="00942956" w:rsidRPr="00506BF7">
        <w:rPr>
          <w:sz w:val="23"/>
          <w:szCs w:val="23"/>
        </w:rPr>
        <w:t>ы долж</w:t>
      </w:r>
      <w:r w:rsidRPr="00506BF7">
        <w:rPr>
          <w:sz w:val="23"/>
          <w:szCs w:val="23"/>
        </w:rPr>
        <w:t>н</w:t>
      </w:r>
      <w:r w:rsidR="00942956" w:rsidRPr="00506BF7">
        <w:rPr>
          <w:sz w:val="23"/>
          <w:szCs w:val="23"/>
        </w:rPr>
        <w:t>ы</w:t>
      </w:r>
      <w:r w:rsidRPr="00506BF7">
        <w:rPr>
          <w:sz w:val="23"/>
          <w:szCs w:val="23"/>
        </w:rPr>
        <w:t xml:space="preserve"> отвечать требованиям ГОСТ ISO 10993-1-2011 Изделия медицинские. Оценка биологического действия медицинских изделий. </w:t>
      </w:r>
      <w:r w:rsidR="0073621E" w:rsidRPr="00506BF7">
        <w:rPr>
          <w:sz w:val="23"/>
          <w:szCs w:val="23"/>
        </w:rPr>
        <w:t xml:space="preserve">Часть 1. Оценка и исследования. </w:t>
      </w:r>
      <w:hyperlink r:id="rId7" w:history="1">
        <w:r w:rsidRPr="00506BF7">
          <w:rPr>
            <w:sz w:val="23"/>
            <w:szCs w:val="23"/>
          </w:rPr>
          <w:t>ГОСТ ISO 10993-5-2011</w:t>
        </w:r>
      </w:hyperlink>
      <w:r w:rsidRPr="00506BF7">
        <w:rPr>
          <w:sz w:val="23"/>
          <w:szCs w:val="23"/>
        </w:rPr>
        <w:t xml:space="preserve"> </w:t>
      </w:r>
      <w:hyperlink r:id="rId8" w:history="1">
        <w:r w:rsidRPr="00506BF7">
          <w:rPr>
            <w:sz w:val="23"/>
            <w:szCs w:val="23"/>
          </w:rPr>
          <w:t xml:space="preserve">Изделия медицинские. Оценка биологического действия медицинских изделий. Часть 5. Исследования на </w:t>
        </w:r>
        <w:proofErr w:type="spellStart"/>
        <w:r w:rsidRPr="00506BF7">
          <w:rPr>
            <w:sz w:val="23"/>
            <w:szCs w:val="23"/>
          </w:rPr>
          <w:t>цитотоксичность</w:t>
        </w:r>
        <w:proofErr w:type="spellEnd"/>
        <w:r w:rsidRPr="00506BF7">
          <w:rPr>
            <w:sz w:val="23"/>
            <w:szCs w:val="23"/>
          </w:rPr>
          <w:t xml:space="preserve">: методы </w:t>
        </w:r>
        <w:proofErr w:type="spellStart"/>
        <w:r w:rsidRPr="00506BF7">
          <w:rPr>
            <w:sz w:val="23"/>
            <w:szCs w:val="23"/>
          </w:rPr>
          <w:t>in</w:t>
        </w:r>
        <w:proofErr w:type="spellEnd"/>
        <w:r w:rsidRPr="00506BF7">
          <w:rPr>
            <w:sz w:val="23"/>
            <w:szCs w:val="23"/>
          </w:rPr>
          <w:t xml:space="preserve"> </w:t>
        </w:r>
        <w:proofErr w:type="spellStart"/>
        <w:r w:rsidRPr="00506BF7">
          <w:rPr>
            <w:sz w:val="23"/>
            <w:szCs w:val="23"/>
          </w:rPr>
          <w:t>vitro</w:t>
        </w:r>
        <w:proofErr w:type="spellEnd"/>
      </w:hyperlink>
      <w:r w:rsidRPr="00506BF7">
        <w:rPr>
          <w:sz w:val="23"/>
          <w:szCs w:val="23"/>
        </w:rPr>
        <w:t xml:space="preserve">. </w:t>
      </w:r>
      <w:hyperlink r:id="rId9" w:history="1">
        <w:r w:rsidRPr="00506BF7">
          <w:rPr>
            <w:sz w:val="23"/>
            <w:szCs w:val="23"/>
          </w:rPr>
          <w:t>ГОСТ ISO 10993-10-2011</w:t>
        </w:r>
      </w:hyperlink>
      <w:r w:rsidRPr="00506BF7">
        <w:rPr>
          <w:sz w:val="23"/>
          <w:szCs w:val="23"/>
        </w:rPr>
        <w:t xml:space="preserve"> </w:t>
      </w:r>
      <w:hyperlink r:id="rId10" w:history="1">
        <w:r w:rsidRPr="00506BF7">
          <w:rPr>
            <w:sz w:val="23"/>
            <w:szCs w:val="23"/>
          </w:rPr>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506BF7">
        <w:rPr>
          <w:sz w:val="23"/>
          <w:szCs w:val="23"/>
        </w:rPr>
        <w:t xml:space="preserve">. </w:t>
      </w:r>
      <w:hyperlink r:id="rId11" w:history="1">
        <w:r w:rsidRPr="00506BF7">
          <w:rPr>
            <w:sz w:val="23"/>
            <w:szCs w:val="23"/>
          </w:rPr>
          <w:t>ГОСТ Р 52770-20</w:t>
        </w:r>
      </w:hyperlink>
      <w:r w:rsidR="00F03A60" w:rsidRPr="00506BF7">
        <w:rPr>
          <w:sz w:val="23"/>
          <w:szCs w:val="23"/>
        </w:rPr>
        <w:t>16</w:t>
      </w:r>
      <w:r w:rsidRPr="00506BF7">
        <w:rPr>
          <w:sz w:val="23"/>
          <w:szCs w:val="23"/>
        </w:rPr>
        <w:t xml:space="preserve"> </w:t>
      </w:r>
      <w:r w:rsidR="00F03A60" w:rsidRPr="00506BF7">
        <w:rPr>
          <w:sz w:val="23"/>
          <w:szCs w:val="23"/>
        </w:rPr>
        <w:t>«</w:t>
      </w:r>
      <w:hyperlink r:id="rId12" w:history="1">
        <w:r w:rsidRPr="00506BF7">
          <w:rPr>
            <w:sz w:val="23"/>
            <w:szCs w:val="23"/>
          </w:rPr>
          <w:t>Изделия медицинские. Требования безопасности. Методы санитарно-химических и токсикологических испытаний</w:t>
        </w:r>
      </w:hyperlink>
      <w:r w:rsidR="00F03A60" w:rsidRPr="00506BF7">
        <w:rPr>
          <w:sz w:val="23"/>
          <w:szCs w:val="23"/>
        </w:rPr>
        <w:t>»</w:t>
      </w:r>
      <w:r w:rsidRPr="00506BF7">
        <w:rPr>
          <w:sz w:val="23"/>
          <w:szCs w:val="23"/>
        </w:rPr>
        <w:t xml:space="preserve"> </w:t>
      </w:r>
      <w:hyperlink r:id="rId13" w:history="1">
        <w:r w:rsidRPr="00506BF7">
          <w:rPr>
            <w:sz w:val="23"/>
            <w:szCs w:val="23"/>
          </w:rPr>
          <w:t>ГОСТ Р ИСО 22523-2007</w:t>
        </w:r>
      </w:hyperlink>
      <w:r w:rsidR="00DB7ECF" w:rsidRPr="00506BF7">
        <w:rPr>
          <w:sz w:val="23"/>
          <w:szCs w:val="23"/>
        </w:rPr>
        <w:t xml:space="preserve"> 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3B5791" w:rsidRPr="00506BF7" w:rsidRDefault="003B5791" w:rsidP="00457915">
      <w:pPr>
        <w:ind w:firstLine="709"/>
        <w:jc w:val="center"/>
        <w:rPr>
          <w:b/>
          <w:sz w:val="23"/>
          <w:szCs w:val="23"/>
        </w:rPr>
      </w:pPr>
      <w:r w:rsidRPr="00506BF7">
        <w:rPr>
          <w:b/>
          <w:sz w:val="23"/>
          <w:szCs w:val="23"/>
        </w:rPr>
        <w:t xml:space="preserve"> Требования к функциональным характеристикам</w:t>
      </w:r>
    </w:p>
    <w:p w:rsidR="003B5791" w:rsidRPr="00506BF7" w:rsidRDefault="003B5791" w:rsidP="00457915">
      <w:pPr>
        <w:ind w:firstLine="709"/>
        <w:jc w:val="both"/>
        <w:rPr>
          <w:sz w:val="23"/>
          <w:szCs w:val="23"/>
        </w:rPr>
      </w:pPr>
      <w:r w:rsidRPr="00506BF7">
        <w:rPr>
          <w:sz w:val="23"/>
          <w:szCs w:val="23"/>
        </w:rPr>
        <w:t>Выполняемы</w:t>
      </w:r>
      <w:r w:rsidR="00343C51" w:rsidRPr="00506BF7">
        <w:rPr>
          <w:sz w:val="23"/>
          <w:szCs w:val="23"/>
        </w:rPr>
        <w:t>е работы по обеспечению инвалидов</w:t>
      </w:r>
      <w:r w:rsidR="00A90EA1" w:rsidRPr="00506BF7">
        <w:rPr>
          <w:sz w:val="23"/>
          <w:szCs w:val="23"/>
        </w:rPr>
        <w:t xml:space="preserve"> </w:t>
      </w:r>
      <w:r w:rsidR="00343C51" w:rsidRPr="00506BF7">
        <w:rPr>
          <w:sz w:val="23"/>
          <w:szCs w:val="23"/>
        </w:rPr>
        <w:t>протезами</w:t>
      </w:r>
      <w:r w:rsidR="007815C5" w:rsidRPr="00506BF7">
        <w:rPr>
          <w:sz w:val="23"/>
          <w:szCs w:val="23"/>
        </w:rPr>
        <w:t xml:space="preserve"> </w:t>
      </w:r>
      <w:r w:rsidRPr="00506BF7">
        <w:rPr>
          <w:sz w:val="23"/>
          <w:szCs w:val="23"/>
        </w:rPr>
        <w:t>должны 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506BF7" w:rsidRDefault="003B5791" w:rsidP="00457915">
      <w:pPr>
        <w:ind w:firstLine="709"/>
        <w:jc w:val="both"/>
        <w:rPr>
          <w:sz w:val="23"/>
          <w:szCs w:val="23"/>
        </w:rPr>
      </w:pPr>
      <w:r w:rsidRPr="00506BF7">
        <w:rPr>
          <w:sz w:val="23"/>
          <w:szCs w:val="23"/>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w:t>
      </w:r>
      <w:r w:rsidR="00FB31ED" w:rsidRPr="00506BF7">
        <w:rPr>
          <w:sz w:val="23"/>
          <w:szCs w:val="23"/>
        </w:rPr>
        <w:t xml:space="preserve">ранение косметических дефектов </w:t>
      </w:r>
      <w:r w:rsidRPr="00506BF7">
        <w:rPr>
          <w:sz w:val="23"/>
          <w:szCs w:val="23"/>
        </w:rPr>
        <w:t xml:space="preserve">конечностей пациентов с помощью протезов. </w:t>
      </w:r>
    </w:p>
    <w:p w:rsidR="003B5791" w:rsidRPr="00506BF7" w:rsidRDefault="003B5791" w:rsidP="00457915">
      <w:pPr>
        <w:ind w:firstLine="709"/>
        <w:jc w:val="center"/>
        <w:rPr>
          <w:b/>
          <w:sz w:val="23"/>
          <w:szCs w:val="23"/>
        </w:rPr>
      </w:pPr>
      <w:r w:rsidRPr="00506BF7">
        <w:rPr>
          <w:b/>
          <w:sz w:val="23"/>
          <w:szCs w:val="23"/>
        </w:rPr>
        <w:t xml:space="preserve"> Требования к размерам, упаковке и отгрузке изделий</w:t>
      </w:r>
    </w:p>
    <w:p w:rsidR="003B5791" w:rsidRPr="00506BF7" w:rsidRDefault="003B5791" w:rsidP="00275956">
      <w:pPr>
        <w:ind w:firstLine="708"/>
        <w:jc w:val="both"/>
        <w:rPr>
          <w:sz w:val="23"/>
          <w:szCs w:val="23"/>
        </w:rPr>
      </w:pPr>
      <w:r w:rsidRPr="00506BF7">
        <w:rPr>
          <w:sz w:val="23"/>
          <w:szCs w:val="23"/>
        </w:rPr>
        <w:t>Пр</w:t>
      </w:r>
      <w:r w:rsidR="00DB7ECF" w:rsidRPr="00506BF7">
        <w:rPr>
          <w:sz w:val="23"/>
          <w:szCs w:val="23"/>
        </w:rPr>
        <w:t>и необходимости отправка протез</w:t>
      </w:r>
      <w:r w:rsidR="00942956" w:rsidRPr="00506BF7">
        <w:rPr>
          <w:sz w:val="23"/>
          <w:szCs w:val="23"/>
        </w:rPr>
        <w:t>ов</w:t>
      </w:r>
      <w:r w:rsidR="00DB7ECF" w:rsidRPr="00506BF7">
        <w:rPr>
          <w:sz w:val="23"/>
          <w:szCs w:val="23"/>
        </w:rPr>
        <w:t xml:space="preserve"> к месту нахождения инвалид</w:t>
      </w:r>
      <w:r w:rsidR="00942956" w:rsidRPr="00506BF7">
        <w:rPr>
          <w:sz w:val="23"/>
          <w:szCs w:val="23"/>
        </w:rPr>
        <w:t>ов</w:t>
      </w:r>
      <w:r w:rsidRPr="00506BF7">
        <w:rPr>
          <w:sz w:val="23"/>
          <w:szCs w:val="23"/>
        </w:rPr>
        <w:t xml:space="preserve"> должна осуществляться с соблюдением требований ГОСТ Р 51632-2014 «Технические средства реабилитации людей</w:t>
      </w:r>
      <w:r w:rsidR="00A57A21" w:rsidRPr="00506BF7">
        <w:rPr>
          <w:sz w:val="23"/>
          <w:szCs w:val="23"/>
        </w:rPr>
        <w:t xml:space="preserve"> с</w:t>
      </w:r>
      <w:r w:rsidRPr="00506BF7">
        <w:rPr>
          <w:sz w:val="23"/>
          <w:szCs w:val="23"/>
        </w:rPr>
        <w:t xml:space="preserve"> ограничениями жизнедеятельности</w:t>
      </w:r>
      <w:r w:rsidR="00275956" w:rsidRPr="00506BF7">
        <w:rPr>
          <w:sz w:val="23"/>
          <w:szCs w:val="23"/>
        </w:rPr>
        <w:t>.</w:t>
      </w:r>
      <w:r w:rsidRPr="00506BF7">
        <w:rPr>
          <w:sz w:val="23"/>
          <w:szCs w:val="23"/>
        </w:rPr>
        <w:t xml:space="preserve">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w:t>
      </w:r>
      <w:proofErr w:type="gramStart"/>
      <w:r w:rsidRPr="00506BF7">
        <w:rPr>
          <w:sz w:val="23"/>
          <w:szCs w:val="23"/>
        </w:rPr>
        <w:t>использования  по</w:t>
      </w:r>
      <w:proofErr w:type="gramEnd"/>
      <w:r w:rsidRPr="00506BF7">
        <w:rPr>
          <w:sz w:val="23"/>
          <w:szCs w:val="23"/>
        </w:rPr>
        <w:t xml:space="preserve"> назначению. </w:t>
      </w:r>
    </w:p>
    <w:p w:rsidR="003B5791" w:rsidRPr="00506BF7" w:rsidRDefault="003B5791" w:rsidP="00457915">
      <w:pPr>
        <w:ind w:firstLine="709"/>
        <w:jc w:val="center"/>
        <w:rPr>
          <w:b/>
          <w:sz w:val="23"/>
          <w:szCs w:val="23"/>
        </w:rPr>
      </w:pPr>
      <w:r w:rsidRPr="00506BF7">
        <w:rPr>
          <w:b/>
          <w:sz w:val="23"/>
          <w:szCs w:val="23"/>
        </w:rPr>
        <w:t xml:space="preserve"> Требование к результатам работ</w:t>
      </w:r>
    </w:p>
    <w:p w:rsidR="003B5791" w:rsidRPr="00506BF7" w:rsidRDefault="00942956" w:rsidP="00457915">
      <w:pPr>
        <w:ind w:firstLine="708"/>
        <w:jc w:val="both"/>
        <w:rPr>
          <w:sz w:val="23"/>
          <w:szCs w:val="23"/>
        </w:rPr>
      </w:pPr>
      <w:r w:rsidRPr="00506BF7">
        <w:rPr>
          <w:sz w:val="23"/>
          <w:szCs w:val="23"/>
        </w:rPr>
        <w:t>Работы по обеспечению инвалидов</w:t>
      </w:r>
      <w:r w:rsidR="00A90EA1" w:rsidRPr="00506BF7">
        <w:rPr>
          <w:sz w:val="23"/>
          <w:szCs w:val="23"/>
        </w:rPr>
        <w:t xml:space="preserve"> </w:t>
      </w:r>
      <w:r w:rsidR="00DB7ECF" w:rsidRPr="00506BF7">
        <w:rPr>
          <w:sz w:val="23"/>
          <w:szCs w:val="23"/>
        </w:rPr>
        <w:t>протез</w:t>
      </w:r>
      <w:r w:rsidRPr="00506BF7">
        <w:rPr>
          <w:sz w:val="23"/>
          <w:szCs w:val="23"/>
        </w:rPr>
        <w:t>ами</w:t>
      </w:r>
      <w:r w:rsidR="00275956" w:rsidRPr="00506BF7">
        <w:rPr>
          <w:sz w:val="23"/>
          <w:szCs w:val="23"/>
        </w:rPr>
        <w:t xml:space="preserve"> </w:t>
      </w:r>
      <w:r w:rsidR="003B5791" w:rsidRPr="00506BF7">
        <w:rPr>
          <w:sz w:val="23"/>
          <w:szCs w:val="23"/>
        </w:rPr>
        <w:t xml:space="preserve">следует считать эффективно исполненными, если у </w:t>
      </w:r>
      <w:r w:rsidR="00275956" w:rsidRPr="00506BF7">
        <w:rPr>
          <w:sz w:val="23"/>
          <w:szCs w:val="23"/>
        </w:rPr>
        <w:t>инвалида восстановлены двигательные функции</w:t>
      </w:r>
      <w:r w:rsidR="003B5791" w:rsidRPr="00506BF7">
        <w:rPr>
          <w:sz w:val="23"/>
          <w:szCs w:val="23"/>
        </w:rPr>
        <w:t xml:space="preserve"> конечности, созданы условия для предупреждения развития деформации или благоприятного течения болезни. Работы п</w:t>
      </w:r>
      <w:r w:rsidRPr="00506BF7">
        <w:rPr>
          <w:sz w:val="23"/>
          <w:szCs w:val="23"/>
        </w:rPr>
        <w:t>о обеспечению инвалидов протезами</w:t>
      </w:r>
      <w:r w:rsidR="003B5791" w:rsidRPr="00506BF7">
        <w:rPr>
          <w:sz w:val="23"/>
          <w:szCs w:val="23"/>
        </w:rPr>
        <w:t xml:space="preserve"> должны быть выполнены с надлежащим качеством и в установленные сроки.</w:t>
      </w:r>
    </w:p>
    <w:p w:rsidR="00093F6A" w:rsidRPr="00506BF7" w:rsidRDefault="00093F6A" w:rsidP="00457915">
      <w:pPr>
        <w:ind w:firstLine="708"/>
        <w:jc w:val="both"/>
        <w:rPr>
          <w:sz w:val="23"/>
          <w:szCs w:val="23"/>
        </w:rPr>
      </w:pPr>
    </w:p>
    <w:p w:rsidR="003B5791" w:rsidRPr="00506BF7" w:rsidRDefault="003B5791" w:rsidP="001763F8">
      <w:pPr>
        <w:autoSpaceDE w:val="0"/>
        <w:jc w:val="center"/>
        <w:rPr>
          <w:b/>
          <w:sz w:val="23"/>
          <w:szCs w:val="23"/>
        </w:rPr>
      </w:pPr>
      <w:r w:rsidRPr="00506BF7">
        <w:rPr>
          <w:b/>
          <w:sz w:val="23"/>
          <w:szCs w:val="23"/>
        </w:rPr>
        <w:t xml:space="preserve"> Требования к сроку и (или) объему предоставленных гарантий качества выполнения работ</w:t>
      </w:r>
    </w:p>
    <w:p w:rsidR="00275956" w:rsidRPr="00506BF7" w:rsidRDefault="00275956" w:rsidP="00275956">
      <w:pPr>
        <w:ind w:firstLine="708"/>
        <w:jc w:val="both"/>
        <w:rPr>
          <w:sz w:val="23"/>
          <w:szCs w:val="23"/>
        </w:rPr>
      </w:pPr>
      <w:r w:rsidRPr="00506BF7">
        <w:rPr>
          <w:sz w:val="23"/>
          <w:szCs w:val="23"/>
        </w:rPr>
        <w:t>Срок пользования протезами должен быть не менее минимального срока пользования, установленного приказом Минтруда и социальной защиты Российской Федерации от 13.02.2018 №85н.</w:t>
      </w:r>
    </w:p>
    <w:p w:rsidR="00093F6A" w:rsidRPr="00506BF7" w:rsidRDefault="00093F6A" w:rsidP="00093F6A">
      <w:pPr>
        <w:ind w:firstLine="708"/>
        <w:jc w:val="both"/>
        <w:rPr>
          <w:sz w:val="23"/>
          <w:szCs w:val="23"/>
        </w:rPr>
      </w:pPr>
      <w:r w:rsidRPr="00506BF7">
        <w:rPr>
          <w:sz w:val="23"/>
          <w:szCs w:val="23"/>
        </w:rPr>
        <w:t>Гарантийный срок должен составлять не менее 12 месяцев со дня выдачи готового Изделия Получателю.</w:t>
      </w:r>
    </w:p>
    <w:p w:rsidR="00093F6A" w:rsidRPr="00506BF7" w:rsidRDefault="00093F6A" w:rsidP="00275956">
      <w:pPr>
        <w:ind w:firstLine="708"/>
        <w:jc w:val="both"/>
        <w:rPr>
          <w:sz w:val="23"/>
          <w:szCs w:val="23"/>
        </w:rPr>
      </w:pPr>
    </w:p>
    <w:p w:rsidR="00093F6A" w:rsidRPr="00506BF7" w:rsidRDefault="00093F6A" w:rsidP="00093F6A">
      <w:pPr>
        <w:ind w:firstLine="708"/>
        <w:jc w:val="both"/>
        <w:rPr>
          <w:sz w:val="23"/>
          <w:szCs w:val="23"/>
        </w:rPr>
      </w:pPr>
      <w:r w:rsidRPr="00506BF7">
        <w:rPr>
          <w:b/>
          <w:sz w:val="23"/>
          <w:szCs w:val="23"/>
        </w:rPr>
        <w:t>Место, условия и сроки выполнения работ</w:t>
      </w:r>
      <w:r w:rsidRPr="00506BF7">
        <w:rPr>
          <w:bCs/>
          <w:iCs/>
          <w:sz w:val="23"/>
          <w:szCs w:val="23"/>
        </w:rPr>
        <w:t>:</w:t>
      </w:r>
      <w:r w:rsidRPr="00506BF7">
        <w:rPr>
          <w:sz w:val="23"/>
          <w:szCs w:val="23"/>
        </w:rPr>
        <w:t xml:space="preserve"> Производить замеры по месту жительства Получателя или, по согласованию с Получателем на территории Республики Крым. </w:t>
      </w:r>
      <w:r w:rsidRPr="00506BF7">
        <w:rPr>
          <w:color w:val="212121"/>
          <w:sz w:val="23"/>
          <w:szCs w:val="23"/>
        </w:rPr>
        <w:t xml:space="preserve">Выдать Изделие </w:t>
      </w:r>
      <w:r w:rsidRPr="00506BF7">
        <w:rPr>
          <w:sz w:val="23"/>
          <w:szCs w:val="23"/>
        </w:rPr>
        <w:t xml:space="preserve">непосредственно Получателю при предъявлении паспорта по месту жительства или, по </w:t>
      </w:r>
      <w:r w:rsidRPr="00506BF7">
        <w:rPr>
          <w:sz w:val="23"/>
          <w:szCs w:val="23"/>
        </w:rPr>
        <w:lastRenderedPageBreak/>
        <w:t>согласованию с Получателем, на территории Республики Крым, в соответствии с реестром, выданным Заказчиком, на основании направления, не позднее 01.12.2018 года.</w:t>
      </w:r>
    </w:p>
    <w:tbl>
      <w:tblPr>
        <w:tblpPr w:leftFromText="180" w:rightFromText="180" w:vertAnchor="text" w:horzAnchor="margin" w:tblpY="203"/>
        <w:tblW w:w="9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4"/>
        <w:gridCol w:w="1703"/>
        <w:gridCol w:w="6235"/>
        <w:gridCol w:w="1144"/>
      </w:tblGrid>
      <w:tr w:rsidR="009C2B1D" w:rsidRPr="00506BF7" w:rsidTr="0072390A">
        <w:trPr>
          <w:trHeight w:val="825"/>
        </w:trPr>
        <w:tc>
          <w:tcPr>
            <w:tcW w:w="704" w:type="dxa"/>
            <w:tcBorders>
              <w:top w:val="single" w:sz="4" w:space="0" w:color="00000A"/>
              <w:left w:val="single" w:sz="4" w:space="0" w:color="00000A"/>
              <w:right w:val="single" w:sz="4" w:space="0" w:color="00000A"/>
            </w:tcBorders>
            <w:shd w:val="clear" w:color="auto" w:fill="auto"/>
            <w:tcMar>
              <w:left w:w="108" w:type="dxa"/>
            </w:tcMar>
            <w:vAlign w:val="center"/>
          </w:tcPr>
          <w:p w:rsidR="009C2B1D" w:rsidRPr="00506BF7" w:rsidRDefault="009C2B1D" w:rsidP="00BE3B19">
            <w:pPr>
              <w:tabs>
                <w:tab w:val="left" w:pos="6761"/>
              </w:tabs>
              <w:jc w:val="center"/>
              <w:rPr>
                <w:sz w:val="23"/>
                <w:szCs w:val="23"/>
              </w:rPr>
            </w:pPr>
            <w:r w:rsidRPr="00506BF7">
              <w:rPr>
                <w:sz w:val="23"/>
                <w:szCs w:val="23"/>
              </w:rPr>
              <w:t>№</w:t>
            </w:r>
          </w:p>
          <w:p w:rsidR="009C2B1D" w:rsidRPr="00506BF7" w:rsidRDefault="009C2B1D" w:rsidP="00BE3B19">
            <w:pPr>
              <w:tabs>
                <w:tab w:val="left" w:pos="6761"/>
              </w:tabs>
              <w:jc w:val="center"/>
              <w:rPr>
                <w:sz w:val="23"/>
                <w:szCs w:val="23"/>
              </w:rPr>
            </w:pPr>
            <w:proofErr w:type="gramStart"/>
            <w:r w:rsidRPr="00506BF7">
              <w:rPr>
                <w:sz w:val="23"/>
                <w:szCs w:val="23"/>
              </w:rPr>
              <w:t>п</w:t>
            </w:r>
            <w:proofErr w:type="gramEnd"/>
            <w:r w:rsidRPr="00506BF7">
              <w:rPr>
                <w:sz w:val="23"/>
                <w:szCs w:val="23"/>
              </w:rPr>
              <w:t>/п</w:t>
            </w:r>
          </w:p>
        </w:tc>
        <w:tc>
          <w:tcPr>
            <w:tcW w:w="1703" w:type="dxa"/>
            <w:tcBorders>
              <w:top w:val="single" w:sz="4" w:space="0" w:color="00000A"/>
              <w:left w:val="single" w:sz="4" w:space="0" w:color="00000A"/>
              <w:right w:val="single" w:sz="4" w:space="0" w:color="00000A"/>
            </w:tcBorders>
            <w:shd w:val="clear" w:color="auto" w:fill="auto"/>
            <w:tcMar>
              <w:left w:w="108" w:type="dxa"/>
            </w:tcMar>
            <w:vAlign w:val="center"/>
          </w:tcPr>
          <w:p w:rsidR="009C2B1D" w:rsidRPr="00506BF7" w:rsidRDefault="009C2B1D" w:rsidP="00BE3B19">
            <w:pPr>
              <w:tabs>
                <w:tab w:val="left" w:pos="6761"/>
              </w:tabs>
              <w:jc w:val="center"/>
              <w:rPr>
                <w:sz w:val="23"/>
                <w:szCs w:val="23"/>
              </w:rPr>
            </w:pPr>
          </w:p>
          <w:p w:rsidR="009C2B1D" w:rsidRPr="00506BF7" w:rsidRDefault="009C2B1D" w:rsidP="00BE3B19">
            <w:pPr>
              <w:tabs>
                <w:tab w:val="left" w:pos="6761"/>
              </w:tabs>
              <w:jc w:val="center"/>
              <w:rPr>
                <w:sz w:val="23"/>
                <w:szCs w:val="23"/>
              </w:rPr>
            </w:pPr>
            <w:r w:rsidRPr="00506BF7">
              <w:rPr>
                <w:sz w:val="23"/>
                <w:szCs w:val="23"/>
              </w:rPr>
              <w:t>Наименование изделий</w:t>
            </w:r>
          </w:p>
          <w:p w:rsidR="009C2B1D" w:rsidRPr="00506BF7" w:rsidRDefault="009C2B1D" w:rsidP="00BE3B19">
            <w:pPr>
              <w:tabs>
                <w:tab w:val="left" w:pos="6761"/>
              </w:tabs>
              <w:jc w:val="center"/>
              <w:rPr>
                <w:sz w:val="23"/>
                <w:szCs w:val="23"/>
              </w:rPr>
            </w:pPr>
          </w:p>
        </w:tc>
        <w:tc>
          <w:tcPr>
            <w:tcW w:w="6235" w:type="dxa"/>
            <w:tcBorders>
              <w:top w:val="single" w:sz="4" w:space="0" w:color="00000A"/>
              <w:left w:val="single" w:sz="4" w:space="0" w:color="00000A"/>
              <w:right w:val="single" w:sz="4" w:space="0" w:color="00000A"/>
            </w:tcBorders>
            <w:shd w:val="clear" w:color="auto" w:fill="auto"/>
            <w:tcMar>
              <w:left w:w="108" w:type="dxa"/>
            </w:tcMar>
            <w:vAlign w:val="center"/>
          </w:tcPr>
          <w:p w:rsidR="009C2B1D" w:rsidRPr="00506BF7" w:rsidRDefault="009C2B1D" w:rsidP="00BE3B19">
            <w:pPr>
              <w:rPr>
                <w:sz w:val="23"/>
                <w:szCs w:val="23"/>
              </w:rPr>
            </w:pPr>
            <w:r w:rsidRPr="00506BF7">
              <w:rPr>
                <w:sz w:val="23"/>
                <w:szCs w:val="23"/>
              </w:rPr>
              <w:t>Функциональные характеристики изделия</w:t>
            </w:r>
          </w:p>
        </w:tc>
        <w:tc>
          <w:tcPr>
            <w:tcW w:w="1144" w:type="dxa"/>
            <w:tcBorders>
              <w:top w:val="single" w:sz="4" w:space="0" w:color="00000A"/>
              <w:left w:val="single" w:sz="4" w:space="0" w:color="00000A"/>
              <w:right w:val="single" w:sz="4" w:space="0" w:color="00000A"/>
            </w:tcBorders>
            <w:shd w:val="clear" w:color="auto" w:fill="auto"/>
            <w:vAlign w:val="center"/>
          </w:tcPr>
          <w:p w:rsidR="009C2B1D" w:rsidRPr="00506BF7" w:rsidRDefault="009C2B1D" w:rsidP="00BE3B19">
            <w:pPr>
              <w:tabs>
                <w:tab w:val="left" w:pos="6761"/>
              </w:tabs>
              <w:jc w:val="center"/>
              <w:rPr>
                <w:sz w:val="23"/>
                <w:szCs w:val="23"/>
              </w:rPr>
            </w:pPr>
            <w:r w:rsidRPr="00506BF7">
              <w:rPr>
                <w:sz w:val="23"/>
                <w:szCs w:val="23"/>
              </w:rPr>
              <w:t>Количество (шт.)</w:t>
            </w:r>
          </w:p>
        </w:tc>
      </w:tr>
      <w:tr w:rsidR="00897202" w:rsidRPr="00506BF7" w:rsidTr="001763F8">
        <w:trPr>
          <w:trHeight w:val="552"/>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7202" w:rsidRPr="00506BF7" w:rsidRDefault="009C2B1D" w:rsidP="00093F6A">
            <w:pPr>
              <w:tabs>
                <w:tab w:val="left" w:pos="6761"/>
              </w:tabs>
              <w:jc w:val="both"/>
              <w:rPr>
                <w:sz w:val="23"/>
                <w:szCs w:val="23"/>
              </w:rPr>
            </w:pPr>
            <w:r w:rsidRPr="00506BF7">
              <w:rPr>
                <w:sz w:val="23"/>
                <w:szCs w:val="23"/>
              </w:rPr>
              <w:t>1</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7202" w:rsidRPr="00506BF7" w:rsidRDefault="00897202" w:rsidP="00093F6A">
            <w:pPr>
              <w:jc w:val="both"/>
              <w:rPr>
                <w:sz w:val="23"/>
                <w:szCs w:val="23"/>
              </w:rPr>
            </w:pPr>
            <w:r w:rsidRPr="00506BF7">
              <w:rPr>
                <w:sz w:val="23"/>
                <w:szCs w:val="23"/>
                <w:lang w:eastAsia="ru-RU"/>
              </w:rPr>
              <w:t>Протез п</w:t>
            </w:r>
            <w:r w:rsidR="00275956" w:rsidRPr="00506BF7">
              <w:rPr>
                <w:sz w:val="23"/>
                <w:szCs w:val="23"/>
                <w:lang w:eastAsia="ru-RU"/>
              </w:rPr>
              <w:t>редплечья</w:t>
            </w:r>
            <w:r w:rsidRPr="00506BF7">
              <w:rPr>
                <w:sz w:val="23"/>
                <w:szCs w:val="23"/>
                <w:lang w:eastAsia="ru-RU"/>
              </w:rPr>
              <w:t xml:space="preserve"> с внешним источником энергии</w:t>
            </w:r>
          </w:p>
        </w:tc>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390A" w:rsidRPr="00506BF7" w:rsidRDefault="00275956" w:rsidP="00A24586">
            <w:pPr>
              <w:ind w:right="-63"/>
              <w:jc w:val="both"/>
              <w:rPr>
                <w:sz w:val="23"/>
                <w:szCs w:val="23"/>
                <w:lang w:eastAsia="ru-RU"/>
              </w:rPr>
            </w:pPr>
            <w:r w:rsidRPr="00506BF7">
              <w:rPr>
                <w:sz w:val="23"/>
                <w:szCs w:val="23"/>
                <w:lang w:eastAsia="ru-RU"/>
              </w:rPr>
              <w:t xml:space="preserve">Протез предплечья с внешним источником энергии с биоэлектрическим программным управлением, с возможностью изменения программы положения кисти через мобильное </w:t>
            </w:r>
            <w:r w:rsidR="00A24586" w:rsidRPr="00506BF7">
              <w:rPr>
                <w:sz w:val="23"/>
                <w:szCs w:val="23"/>
                <w:lang w:eastAsia="ru-RU"/>
              </w:rPr>
              <w:t>устройство</w:t>
            </w:r>
            <w:r w:rsidRPr="00506BF7">
              <w:rPr>
                <w:sz w:val="23"/>
                <w:szCs w:val="23"/>
                <w:lang w:eastAsia="ru-RU"/>
              </w:rPr>
              <w:t xml:space="preserve"> или персональный компьютер. Кисть должна быть миоэлектрической: с возможностью управления кистью как от двух, так и одного электрода для пациентов имеющих одну работоспособную группу мышц; с двумя независимыми системами пропорционального управления скоростью и силой </w:t>
            </w:r>
            <w:proofErr w:type="spellStart"/>
            <w:r w:rsidRPr="00506BF7">
              <w:rPr>
                <w:sz w:val="23"/>
                <w:szCs w:val="23"/>
                <w:lang w:eastAsia="ru-RU"/>
              </w:rPr>
              <w:t>схвата</w:t>
            </w:r>
            <w:proofErr w:type="spellEnd"/>
            <w:r w:rsidRPr="00506BF7">
              <w:rPr>
                <w:sz w:val="23"/>
                <w:szCs w:val="23"/>
                <w:lang w:eastAsia="ru-RU"/>
              </w:rPr>
              <w:t xml:space="preserve">, обеспечивающей естественную и скоординированную работу пяти пальцев, с повышенной скоростью и точностью движений, гарантирующих выполнение </w:t>
            </w:r>
            <w:r w:rsidR="00A24586" w:rsidRPr="00506BF7">
              <w:rPr>
                <w:sz w:val="23"/>
                <w:szCs w:val="23"/>
                <w:lang w:eastAsia="ru-RU"/>
              </w:rPr>
              <w:t xml:space="preserve">не менее </w:t>
            </w:r>
            <w:r w:rsidRPr="00506BF7">
              <w:rPr>
                <w:sz w:val="23"/>
                <w:szCs w:val="23"/>
                <w:lang w:eastAsia="ru-RU"/>
              </w:rPr>
              <w:t xml:space="preserve">12 моделей захватов, жестов искусственной кисти. Кисть </w:t>
            </w:r>
            <w:r w:rsidR="00093F6A" w:rsidRPr="00506BF7">
              <w:rPr>
                <w:sz w:val="23"/>
                <w:szCs w:val="23"/>
                <w:lang w:eastAsia="ru-RU"/>
              </w:rPr>
              <w:t xml:space="preserve">должна </w:t>
            </w:r>
            <w:r w:rsidRPr="00506BF7">
              <w:rPr>
                <w:sz w:val="23"/>
                <w:szCs w:val="23"/>
                <w:lang w:eastAsia="ru-RU"/>
              </w:rPr>
              <w:t>име</w:t>
            </w:r>
            <w:r w:rsidR="00093F6A" w:rsidRPr="00506BF7">
              <w:rPr>
                <w:sz w:val="23"/>
                <w:szCs w:val="23"/>
                <w:lang w:eastAsia="ru-RU"/>
              </w:rPr>
              <w:t>ть</w:t>
            </w:r>
            <w:r w:rsidRPr="00506BF7">
              <w:rPr>
                <w:sz w:val="23"/>
                <w:szCs w:val="23"/>
                <w:lang w:eastAsia="ru-RU"/>
              </w:rPr>
              <w:t xml:space="preserve"> поворачиваемый вручную большой палец для различных вариантов </w:t>
            </w:r>
            <w:proofErr w:type="spellStart"/>
            <w:r w:rsidRPr="00506BF7">
              <w:rPr>
                <w:sz w:val="23"/>
                <w:szCs w:val="23"/>
                <w:lang w:eastAsia="ru-RU"/>
              </w:rPr>
              <w:t>схвата</w:t>
            </w:r>
            <w:proofErr w:type="spellEnd"/>
            <w:r w:rsidRPr="00506BF7">
              <w:rPr>
                <w:sz w:val="23"/>
                <w:szCs w:val="23"/>
                <w:lang w:eastAsia="ru-RU"/>
              </w:rPr>
              <w:t xml:space="preserve">, 2-5 пальцы </w:t>
            </w:r>
            <w:r w:rsidR="00A24586" w:rsidRPr="00506BF7">
              <w:rPr>
                <w:sz w:val="23"/>
                <w:szCs w:val="23"/>
                <w:lang w:eastAsia="ru-RU"/>
              </w:rPr>
              <w:t xml:space="preserve">должны быть </w:t>
            </w:r>
            <w:r w:rsidRPr="00506BF7">
              <w:rPr>
                <w:sz w:val="23"/>
                <w:szCs w:val="23"/>
                <w:lang w:eastAsia="ru-RU"/>
              </w:rPr>
              <w:t xml:space="preserve">с подвижностью в пястно-фаланговом и среднем суставах. Максимальная статистическая нагрузка на каждый палец </w:t>
            </w:r>
            <w:r w:rsidR="00506BF7" w:rsidRPr="00506BF7">
              <w:rPr>
                <w:sz w:val="23"/>
                <w:szCs w:val="23"/>
                <w:lang w:eastAsia="ru-RU"/>
              </w:rPr>
              <w:t xml:space="preserve">не менее </w:t>
            </w:r>
            <w:r w:rsidRPr="00506BF7">
              <w:rPr>
                <w:sz w:val="23"/>
                <w:szCs w:val="23"/>
                <w:lang w:eastAsia="ru-RU"/>
              </w:rPr>
              <w:t xml:space="preserve">32 кг. Максимальная статистическая нагрузка на протез 90 кг. Минимальное время </w:t>
            </w:r>
            <w:proofErr w:type="spellStart"/>
            <w:r w:rsidRPr="00506BF7">
              <w:rPr>
                <w:sz w:val="23"/>
                <w:szCs w:val="23"/>
                <w:lang w:eastAsia="ru-RU"/>
              </w:rPr>
              <w:t>схвата</w:t>
            </w:r>
            <w:proofErr w:type="spellEnd"/>
            <w:r w:rsidRPr="00506BF7">
              <w:rPr>
                <w:sz w:val="23"/>
                <w:szCs w:val="23"/>
                <w:lang w:eastAsia="ru-RU"/>
              </w:rPr>
              <w:t xml:space="preserve"> кисти из полностью открытой в положение кулак </w:t>
            </w:r>
            <w:r w:rsidR="00506BF7" w:rsidRPr="00506BF7">
              <w:rPr>
                <w:sz w:val="23"/>
                <w:szCs w:val="23"/>
                <w:lang w:eastAsia="ru-RU"/>
              </w:rPr>
              <w:t xml:space="preserve">не более </w:t>
            </w:r>
            <w:r w:rsidRPr="00506BF7">
              <w:rPr>
                <w:sz w:val="23"/>
                <w:szCs w:val="23"/>
                <w:lang w:eastAsia="ru-RU"/>
              </w:rPr>
              <w:t xml:space="preserve">0,8 секунды. Пассивная ротация в запястье в объеме </w:t>
            </w:r>
            <w:r w:rsidR="00506BF7" w:rsidRPr="00506BF7">
              <w:rPr>
                <w:sz w:val="23"/>
                <w:szCs w:val="23"/>
                <w:lang w:eastAsia="ru-RU"/>
              </w:rPr>
              <w:t xml:space="preserve">не менее </w:t>
            </w:r>
            <w:r w:rsidRPr="00506BF7">
              <w:rPr>
                <w:sz w:val="23"/>
                <w:szCs w:val="23"/>
                <w:lang w:eastAsia="ru-RU"/>
              </w:rPr>
              <w:t xml:space="preserve">360 градусов. Возможны три варианта соединения запястья: быстросъёмное запястье с коаксиальным разъемом, запястье с функцией фиксированного сгибания и вычленения запястья. Оболочка косметическая силиконовая с армирующей сеткой из </w:t>
            </w:r>
            <w:r w:rsidR="00506BF7" w:rsidRPr="00506BF7">
              <w:rPr>
                <w:sz w:val="23"/>
                <w:szCs w:val="23"/>
                <w:lang w:eastAsia="ru-RU"/>
              </w:rPr>
              <w:t xml:space="preserve">не менее </w:t>
            </w:r>
            <w:r w:rsidRPr="00506BF7">
              <w:rPr>
                <w:sz w:val="23"/>
                <w:szCs w:val="23"/>
                <w:lang w:eastAsia="ru-RU"/>
              </w:rPr>
              <w:t xml:space="preserve">18 стандартных оттенков и/или косметическая оболочка «активная кожа» с возможностью управления устройствами с </w:t>
            </w:r>
            <w:proofErr w:type="spellStart"/>
            <w:r w:rsidRPr="00506BF7">
              <w:rPr>
                <w:sz w:val="23"/>
                <w:szCs w:val="23"/>
                <w:lang w:eastAsia="ru-RU"/>
              </w:rPr>
              <w:t>Мультитач</w:t>
            </w:r>
            <w:proofErr w:type="spellEnd"/>
            <w:r w:rsidRPr="00506BF7">
              <w:rPr>
                <w:sz w:val="23"/>
                <w:szCs w:val="23"/>
                <w:lang w:eastAsia="ru-RU"/>
              </w:rPr>
              <w:t xml:space="preserve"> дисплеями и/или косметическая оболочка «Контур» с возможностью управления устройствами </w:t>
            </w:r>
            <w:proofErr w:type="spellStart"/>
            <w:r w:rsidRPr="00506BF7">
              <w:rPr>
                <w:sz w:val="23"/>
                <w:szCs w:val="23"/>
                <w:lang w:eastAsia="ru-RU"/>
              </w:rPr>
              <w:t>Мультитач</w:t>
            </w:r>
            <w:proofErr w:type="spellEnd"/>
            <w:r w:rsidRPr="00506BF7">
              <w:rPr>
                <w:sz w:val="23"/>
                <w:szCs w:val="23"/>
                <w:lang w:eastAsia="ru-RU"/>
              </w:rPr>
              <w:t xml:space="preserve"> дис</w:t>
            </w:r>
            <w:r w:rsidR="00E900BA" w:rsidRPr="00506BF7">
              <w:rPr>
                <w:sz w:val="23"/>
                <w:szCs w:val="23"/>
                <w:lang w:eastAsia="ru-RU"/>
              </w:rPr>
              <w:t>п</w:t>
            </w:r>
            <w:r w:rsidRPr="00506BF7">
              <w:rPr>
                <w:sz w:val="23"/>
                <w:szCs w:val="23"/>
                <w:lang w:eastAsia="ru-RU"/>
              </w:rPr>
              <w:t xml:space="preserve">леями. Протез должен быть укомплектован косметическими силиконовыми оболочками в количестве не менее 6 шт., в зависимости от потребности Получателя. Гильза должна быть индивидуальной составной, геометрической копией сохранившейся руки, из литьевого слоистого пластика на основе связующих смол.  Зарядное устройство с электропитанием от промышленной сети переменного тока, в комплект </w:t>
            </w:r>
            <w:r w:rsidR="00A24586" w:rsidRPr="00506BF7">
              <w:rPr>
                <w:sz w:val="23"/>
                <w:szCs w:val="23"/>
                <w:lang w:eastAsia="ru-RU"/>
              </w:rPr>
              <w:t xml:space="preserve">должны </w:t>
            </w:r>
            <w:r w:rsidRPr="00506BF7">
              <w:rPr>
                <w:sz w:val="23"/>
                <w:szCs w:val="23"/>
                <w:lang w:eastAsia="ru-RU"/>
              </w:rPr>
              <w:t>вход</w:t>
            </w:r>
            <w:r w:rsidR="00A24586" w:rsidRPr="00506BF7">
              <w:rPr>
                <w:sz w:val="23"/>
                <w:szCs w:val="23"/>
                <w:lang w:eastAsia="ru-RU"/>
              </w:rPr>
              <w:t>и</w:t>
            </w:r>
            <w:r w:rsidRPr="00506BF7">
              <w:rPr>
                <w:sz w:val="23"/>
                <w:szCs w:val="23"/>
                <w:lang w:eastAsia="ru-RU"/>
              </w:rPr>
              <w:t>т</w:t>
            </w:r>
            <w:r w:rsidR="00A24586" w:rsidRPr="00506BF7">
              <w:rPr>
                <w:sz w:val="23"/>
                <w:szCs w:val="23"/>
                <w:lang w:eastAsia="ru-RU"/>
              </w:rPr>
              <w:t>ь</w:t>
            </w:r>
            <w:r w:rsidRPr="00506BF7">
              <w:rPr>
                <w:sz w:val="23"/>
                <w:szCs w:val="23"/>
                <w:lang w:eastAsia="ru-RU"/>
              </w:rPr>
              <w:t xml:space="preserve"> две аккумуляторные батареи. Крепление протеза </w:t>
            </w:r>
            <w:r w:rsidR="00A24586" w:rsidRPr="00506BF7">
              <w:rPr>
                <w:sz w:val="23"/>
                <w:szCs w:val="23"/>
                <w:lang w:eastAsia="ru-RU"/>
              </w:rPr>
              <w:t xml:space="preserve">должно быть </w:t>
            </w:r>
            <w:r w:rsidRPr="00506BF7">
              <w:rPr>
                <w:sz w:val="23"/>
                <w:szCs w:val="23"/>
                <w:lang w:eastAsia="ru-RU"/>
              </w:rPr>
              <w:t>индивидуальное.</w:t>
            </w:r>
          </w:p>
        </w:tc>
        <w:tc>
          <w:tcPr>
            <w:tcW w:w="1144" w:type="dxa"/>
            <w:tcBorders>
              <w:top w:val="single" w:sz="4" w:space="0" w:color="00000A"/>
              <w:left w:val="single" w:sz="4" w:space="0" w:color="00000A"/>
              <w:bottom w:val="single" w:sz="4" w:space="0" w:color="00000A"/>
              <w:right w:val="single" w:sz="4" w:space="0" w:color="00000A"/>
            </w:tcBorders>
          </w:tcPr>
          <w:p w:rsidR="00897202" w:rsidRPr="00506BF7" w:rsidRDefault="00897202" w:rsidP="00093F6A">
            <w:pPr>
              <w:tabs>
                <w:tab w:val="left" w:pos="6761"/>
              </w:tabs>
              <w:jc w:val="both"/>
              <w:rPr>
                <w:sz w:val="23"/>
                <w:szCs w:val="23"/>
              </w:rPr>
            </w:pPr>
          </w:p>
          <w:p w:rsidR="00897202" w:rsidRPr="00506BF7" w:rsidRDefault="00897202" w:rsidP="00093F6A">
            <w:pPr>
              <w:tabs>
                <w:tab w:val="left" w:pos="6761"/>
              </w:tabs>
              <w:jc w:val="both"/>
              <w:rPr>
                <w:sz w:val="23"/>
                <w:szCs w:val="23"/>
              </w:rPr>
            </w:pPr>
          </w:p>
          <w:p w:rsidR="00897202" w:rsidRPr="00506BF7" w:rsidRDefault="00897202" w:rsidP="00093F6A">
            <w:pPr>
              <w:tabs>
                <w:tab w:val="left" w:pos="6761"/>
              </w:tabs>
              <w:jc w:val="both"/>
              <w:rPr>
                <w:sz w:val="23"/>
                <w:szCs w:val="23"/>
              </w:rPr>
            </w:pPr>
          </w:p>
          <w:p w:rsidR="00897202" w:rsidRPr="00506BF7" w:rsidRDefault="00897202" w:rsidP="00093F6A">
            <w:pPr>
              <w:tabs>
                <w:tab w:val="left" w:pos="6761"/>
              </w:tabs>
              <w:jc w:val="both"/>
              <w:rPr>
                <w:sz w:val="23"/>
                <w:szCs w:val="23"/>
              </w:rPr>
            </w:pPr>
          </w:p>
          <w:p w:rsidR="00897202" w:rsidRPr="00506BF7" w:rsidRDefault="00897202" w:rsidP="00093F6A">
            <w:pPr>
              <w:tabs>
                <w:tab w:val="left" w:pos="6761"/>
              </w:tabs>
              <w:jc w:val="both"/>
              <w:rPr>
                <w:sz w:val="23"/>
                <w:szCs w:val="23"/>
              </w:rPr>
            </w:pPr>
          </w:p>
          <w:p w:rsidR="00897202" w:rsidRPr="00506BF7" w:rsidRDefault="00897202" w:rsidP="00093F6A">
            <w:pPr>
              <w:tabs>
                <w:tab w:val="left" w:pos="6761"/>
              </w:tabs>
              <w:jc w:val="both"/>
              <w:rPr>
                <w:sz w:val="23"/>
                <w:szCs w:val="23"/>
              </w:rPr>
            </w:pPr>
          </w:p>
          <w:p w:rsidR="00897202" w:rsidRPr="00506BF7" w:rsidRDefault="00897202" w:rsidP="00093F6A">
            <w:pPr>
              <w:tabs>
                <w:tab w:val="left" w:pos="6761"/>
              </w:tabs>
              <w:jc w:val="both"/>
              <w:rPr>
                <w:sz w:val="23"/>
                <w:szCs w:val="23"/>
              </w:rPr>
            </w:pPr>
          </w:p>
          <w:p w:rsidR="00897202" w:rsidRPr="00506BF7" w:rsidRDefault="00942956" w:rsidP="00093F6A">
            <w:pPr>
              <w:tabs>
                <w:tab w:val="left" w:pos="6761"/>
              </w:tabs>
              <w:jc w:val="both"/>
              <w:rPr>
                <w:sz w:val="23"/>
                <w:szCs w:val="23"/>
              </w:rPr>
            </w:pPr>
            <w:r w:rsidRPr="00506BF7">
              <w:rPr>
                <w:sz w:val="23"/>
                <w:szCs w:val="23"/>
              </w:rPr>
              <w:t>1</w:t>
            </w:r>
          </w:p>
          <w:p w:rsidR="00897202" w:rsidRPr="00506BF7" w:rsidRDefault="00897202" w:rsidP="00093F6A">
            <w:pPr>
              <w:tabs>
                <w:tab w:val="left" w:pos="6761"/>
              </w:tabs>
              <w:jc w:val="both"/>
              <w:rPr>
                <w:sz w:val="23"/>
                <w:szCs w:val="23"/>
              </w:rPr>
            </w:pPr>
          </w:p>
        </w:tc>
      </w:tr>
    </w:tbl>
    <w:p w:rsidR="0072390A" w:rsidRPr="00506BF7" w:rsidRDefault="0072390A" w:rsidP="006D689A">
      <w:pPr>
        <w:tabs>
          <w:tab w:val="left" w:pos="4502"/>
        </w:tabs>
        <w:rPr>
          <w:sz w:val="23"/>
          <w:szCs w:val="23"/>
        </w:rPr>
      </w:pPr>
      <w:bookmarkStart w:id="0" w:name="_GoBack"/>
      <w:bookmarkEnd w:id="0"/>
    </w:p>
    <w:sectPr w:rsidR="0072390A" w:rsidRPr="00506BF7" w:rsidSect="001763F8">
      <w:footerReference w:type="default" r:id="rId14"/>
      <w:pgSz w:w="11906" w:h="16838"/>
      <w:pgMar w:top="1134" w:right="1134" w:bottom="1134"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9E" w:rsidRDefault="00755F9E">
      <w:r>
        <w:separator/>
      </w:r>
    </w:p>
  </w:endnote>
  <w:endnote w:type="continuationSeparator" w:id="0">
    <w:p w:rsidR="00755F9E" w:rsidRDefault="0075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9E" w:rsidRDefault="00755F9E">
      <w:r>
        <w:separator/>
      </w:r>
    </w:p>
  </w:footnote>
  <w:footnote w:type="continuationSeparator" w:id="0">
    <w:p w:rsidR="00755F9E" w:rsidRDefault="0075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1069D"/>
    <w:rsid w:val="0001101C"/>
    <w:rsid w:val="00012905"/>
    <w:rsid w:val="00020220"/>
    <w:rsid w:val="000310C2"/>
    <w:rsid w:val="00032ED4"/>
    <w:rsid w:val="00061425"/>
    <w:rsid w:val="00075E46"/>
    <w:rsid w:val="00077AC0"/>
    <w:rsid w:val="00084167"/>
    <w:rsid w:val="0009237E"/>
    <w:rsid w:val="00092651"/>
    <w:rsid w:val="00093F6A"/>
    <w:rsid w:val="00094911"/>
    <w:rsid w:val="000A1206"/>
    <w:rsid w:val="000C7AA2"/>
    <w:rsid w:val="000F394C"/>
    <w:rsid w:val="000F5F00"/>
    <w:rsid w:val="00117778"/>
    <w:rsid w:val="001209F9"/>
    <w:rsid w:val="00125B65"/>
    <w:rsid w:val="00132BDE"/>
    <w:rsid w:val="00137892"/>
    <w:rsid w:val="00151A52"/>
    <w:rsid w:val="00155B55"/>
    <w:rsid w:val="00173FC9"/>
    <w:rsid w:val="001763F8"/>
    <w:rsid w:val="00185E48"/>
    <w:rsid w:val="001B5D2C"/>
    <w:rsid w:val="001B62BD"/>
    <w:rsid w:val="001C55EB"/>
    <w:rsid w:val="001D104E"/>
    <w:rsid w:val="001D4F68"/>
    <w:rsid w:val="001E37D5"/>
    <w:rsid w:val="001E6109"/>
    <w:rsid w:val="001F62D4"/>
    <w:rsid w:val="00202713"/>
    <w:rsid w:val="00214665"/>
    <w:rsid w:val="00230765"/>
    <w:rsid w:val="00232564"/>
    <w:rsid w:val="00234AA3"/>
    <w:rsid w:val="00243A8D"/>
    <w:rsid w:val="0024411C"/>
    <w:rsid w:val="00246639"/>
    <w:rsid w:val="00247FA6"/>
    <w:rsid w:val="00251D09"/>
    <w:rsid w:val="002563A8"/>
    <w:rsid w:val="00263A8A"/>
    <w:rsid w:val="00275956"/>
    <w:rsid w:val="00297F72"/>
    <w:rsid w:val="002A3DD1"/>
    <w:rsid w:val="002B496B"/>
    <w:rsid w:val="002B4B35"/>
    <w:rsid w:val="002B54B1"/>
    <w:rsid w:val="002C42D6"/>
    <w:rsid w:val="002E5162"/>
    <w:rsid w:val="002F44C4"/>
    <w:rsid w:val="002F55A8"/>
    <w:rsid w:val="003105A7"/>
    <w:rsid w:val="003207DF"/>
    <w:rsid w:val="00320FDB"/>
    <w:rsid w:val="00321438"/>
    <w:rsid w:val="0033114D"/>
    <w:rsid w:val="00336C8C"/>
    <w:rsid w:val="00342483"/>
    <w:rsid w:val="00343C51"/>
    <w:rsid w:val="00356185"/>
    <w:rsid w:val="00364FAB"/>
    <w:rsid w:val="003650EA"/>
    <w:rsid w:val="003911DA"/>
    <w:rsid w:val="003B5791"/>
    <w:rsid w:val="003C76D1"/>
    <w:rsid w:val="00404FF5"/>
    <w:rsid w:val="00414C04"/>
    <w:rsid w:val="00433B09"/>
    <w:rsid w:val="00435156"/>
    <w:rsid w:val="00443FA4"/>
    <w:rsid w:val="00461E48"/>
    <w:rsid w:val="004705DE"/>
    <w:rsid w:val="00481D3D"/>
    <w:rsid w:val="004911C9"/>
    <w:rsid w:val="00495925"/>
    <w:rsid w:val="004A26C0"/>
    <w:rsid w:val="004A379F"/>
    <w:rsid w:val="004B0703"/>
    <w:rsid w:val="004B37A9"/>
    <w:rsid w:val="004C519C"/>
    <w:rsid w:val="004C5EA7"/>
    <w:rsid w:val="004D3E35"/>
    <w:rsid w:val="004D4126"/>
    <w:rsid w:val="004E0739"/>
    <w:rsid w:val="004E42F2"/>
    <w:rsid w:val="004F3E19"/>
    <w:rsid w:val="00500E43"/>
    <w:rsid w:val="005028F4"/>
    <w:rsid w:val="00506BF7"/>
    <w:rsid w:val="00513E56"/>
    <w:rsid w:val="0051781A"/>
    <w:rsid w:val="00532B73"/>
    <w:rsid w:val="0054611D"/>
    <w:rsid w:val="00553ADB"/>
    <w:rsid w:val="0056794A"/>
    <w:rsid w:val="0057097E"/>
    <w:rsid w:val="0057701E"/>
    <w:rsid w:val="0058530D"/>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D689A"/>
    <w:rsid w:val="006D78D6"/>
    <w:rsid w:val="006E2BDA"/>
    <w:rsid w:val="006E6CA2"/>
    <w:rsid w:val="00701585"/>
    <w:rsid w:val="007049EE"/>
    <w:rsid w:val="00706B75"/>
    <w:rsid w:val="0072390A"/>
    <w:rsid w:val="0073339A"/>
    <w:rsid w:val="0073621E"/>
    <w:rsid w:val="007363BB"/>
    <w:rsid w:val="00752DBA"/>
    <w:rsid w:val="00755F9E"/>
    <w:rsid w:val="00774239"/>
    <w:rsid w:val="007815C5"/>
    <w:rsid w:val="007920B2"/>
    <w:rsid w:val="007A0915"/>
    <w:rsid w:val="007A54BA"/>
    <w:rsid w:val="007B7762"/>
    <w:rsid w:val="007F2787"/>
    <w:rsid w:val="00815F21"/>
    <w:rsid w:val="00825562"/>
    <w:rsid w:val="00865355"/>
    <w:rsid w:val="0086590C"/>
    <w:rsid w:val="008709B8"/>
    <w:rsid w:val="0087108D"/>
    <w:rsid w:val="00872E77"/>
    <w:rsid w:val="0087409C"/>
    <w:rsid w:val="00876469"/>
    <w:rsid w:val="00880DB8"/>
    <w:rsid w:val="0088518D"/>
    <w:rsid w:val="008862E8"/>
    <w:rsid w:val="00895A63"/>
    <w:rsid w:val="00896ADD"/>
    <w:rsid w:val="00897202"/>
    <w:rsid w:val="008B6005"/>
    <w:rsid w:val="008C5171"/>
    <w:rsid w:val="008C79C9"/>
    <w:rsid w:val="008E1B9F"/>
    <w:rsid w:val="0090445A"/>
    <w:rsid w:val="00904888"/>
    <w:rsid w:val="00917263"/>
    <w:rsid w:val="0093088F"/>
    <w:rsid w:val="00942956"/>
    <w:rsid w:val="009478CA"/>
    <w:rsid w:val="009570D4"/>
    <w:rsid w:val="00961EF6"/>
    <w:rsid w:val="00965964"/>
    <w:rsid w:val="009679A5"/>
    <w:rsid w:val="00976984"/>
    <w:rsid w:val="00976E56"/>
    <w:rsid w:val="009B0EE7"/>
    <w:rsid w:val="009C2B1D"/>
    <w:rsid w:val="009C6C48"/>
    <w:rsid w:val="009E083E"/>
    <w:rsid w:val="009E2562"/>
    <w:rsid w:val="009E2A64"/>
    <w:rsid w:val="009F7804"/>
    <w:rsid w:val="00A13715"/>
    <w:rsid w:val="00A21A13"/>
    <w:rsid w:val="00A2366A"/>
    <w:rsid w:val="00A24586"/>
    <w:rsid w:val="00A31938"/>
    <w:rsid w:val="00A33F62"/>
    <w:rsid w:val="00A411A6"/>
    <w:rsid w:val="00A51F71"/>
    <w:rsid w:val="00A57A21"/>
    <w:rsid w:val="00A76AC1"/>
    <w:rsid w:val="00A90EA1"/>
    <w:rsid w:val="00A9110A"/>
    <w:rsid w:val="00A975AD"/>
    <w:rsid w:val="00AB78E8"/>
    <w:rsid w:val="00AC1FD0"/>
    <w:rsid w:val="00AC3E67"/>
    <w:rsid w:val="00AC4AA5"/>
    <w:rsid w:val="00AD1BB5"/>
    <w:rsid w:val="00AE0174"/>
    <w:rsid w:val="00AE12CD"/>
    <w:rsid w:val="00AF5BBA"/>
    <w:rsid w:val="00B02FE9"/>
    <w:rsid w:val="00B24645"/>
    <w:rsid w:val="00B273DF"/>
    <w:rsid w:val="00B46BA8"/>
    <w:rsid w:val="00B57D88"/>
    <w:rsid w:val="00B62AC8"/>
    <w:rsid w:val="00B73F50"/>
    <w:rsid w:val="00B777A7"/>
    <w:rsid w:val="00B827E9"/>
    <w:rsid w:val="00B9419B"/>
    <w:rsid w:val="00B943AC"/>
    <w:rsid w:val="00BA3684"/>
    <w:rsid w:val="00BA410F"/>
    <w:rsid w:val="00BB0140"/>
    <w:rsid w:val="00BD16D7"/>
    <w:rsid w:val="00BD3B4E"/>
    <w:rsid w:val="00BE16ED"/>
    <w:rsid w:val="00BE17FD"/>
    <w:rsid w:val="00BE3B19"/>
    <w:rsid w:val="00BE617D"/>
    <w:rsid w:val="00C038CF"/>
    <w:rsid w:val="00C10263"/>
    <w:rsid w:val="00C2136C"/>
    <w:rsid w:val="00C225AF"/>
    <w:rsid w:val="00C3305C"/>
    <w:rsid w:val="00C35A7B"/>
    <w:rsid w:val="00C454F9"/>
    <w:rsid w:val="00C47E50"/>
    <w:rsid w:val="00C55BC0"/>
    <w:rsid w:val="00C70DB4"/>
    <w:rsid w:val="00C71451"/>
    <w:rsid w:val="00C751B3"/>
    <w:rsid w:val="00C77ADE"/>
    <w:rsid w:val="00C81790"/>
    <w:rsid w:val="00C841D7"/>
    <w:rsid w:val="00C93F72"/>
    <w:rsid w:val="00CB539E"/>
    <w:rsid w:val="00CB620E"/>
    <w:rsid w:val="00CF45D7"/>
    <w:rsid w:val="00D04365"/>
    <w:rsid w:val="00D07B64"/>
    <w:rsid w:val="00D102E0"/>
    <w:rsid w:val="00D14CFE"/>
    <w:rsid w:val="00D242E1"/>
    <w:rsid w:val="00D242E9"/>
    <w:rsid w:val="00D25281"/>
    <w:rsid w:val="00D343EE"/>
    <w:rsid w:val="00D556CF"/>
    <w:rsid w:val="00D65C21"/>
    <w:rsid w:val="00D759B7"/>
    <w:rsid w:val="00D829AA"/>
    <w:rsid w:val="00D93528"/>
    <w:rsid w:val="00D9651D"/>
    <w:rsid w:val="00D96FC5"/>
    <w:rsid w:val="00DA0A2D"/>
    <w:rsid w:val="00DA133A"/>
    <w:rsid w:val="00DA61EA"/>
    <w:rsid w:val="00DB2FCE"/>
    <w:rsid w:val="00DB7B24"/>
    <w:rsid w:val="00DB7ECF"/>
    <w:rsid w:val="00DC5185"/>
    <w:rsid w:val="00DC7EF4"/>
    <w:rsid w:val="00DD136F"/>
    <w:rsid w:val="00DE38EF"/>
    <w:rsid w:val="00DF1307"/>
    <w:rsid w:val="00DF1550"/>
    <w:rsid w:val="00E01216"/>
    <w:rsid w:val="00E035A0"/>
    <w:rsid w:val="00E1150E"/>
    <w:rsid w:val="00E13BFF"/>
    <w:rsid w:val="00E33730"/>
    <w:rsid w:val="00E46547"/>
    <w:rsid w:val="00E51E4B"/>
    <w:rsid w:val="00E621B1"/>
    <w:rsid w:val="00E73544"/>
    <w:rsid w:val="00E749E4"/>
    <w:rsid w:val="00E81410"/>
    <w:rsid w:val="00E82EA0"/>
    <w:rsid w:val="00E900BA"/>
    <w:rsid w:val="00EA6ED1"/>
    <w:rsid w:val="00EB7206"/>
    <w:rsid w:val="00EE4374"/>
    <w:rsid w:val="00EF11FD"/>
    <w:rsid w:val="00F00803"/>
    <w:rsid w:val="00F03A60"/>
    <w:rsid w:val="00F25F31"/>
    <w:rsid w:val="00F27AB7"/>
    <w:rsid w:val="00F500F3"/>
    <w:rsid w:val="00F52B80"/>
    <w:rsid w:val="00F7165C"/>
    <w:rsid w:val="00F85B24"/>
    <w:rsid w:val="00FB31ED"/>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uiPriority w:val="99"/>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uiPriority w:val="99"/>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hyperlink" Target="http://internet-law.ru/gosts/gost/47550/" TargetMode="Externa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hyperlink" Target="http://internet-law.ru/gosts/gost/84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law.ru/gosts/gost/840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D854-0B08-4443-947E-593EE424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2</cp:revision>
  <cp:lastPrinted>2018-08-20T05:43:00Z</cp:lastPrinted>
  <dcterms:created xsi:type="dcterms:W3CDTF">2018-08-24T08:29:00Z</dcterms:created>
  <dcterms:modified xsi:type="dcterms:W3CDTF">2018-08-24T08:29:00Z</dcterms:modified>
  <dc:language>ru-RU</dc:language>
</cp:coreProperties>
</file>