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E2" w:rsidRPr="00F4518A" w:rsidRDefault="006F29E2" w:rsidP="006F29E2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6F29E2" w:rsidRPr="00B92230" w:rsidRDefault="006F29E2" w:rsidP="006F29E2">
      <w:pPr>
        <w:jc w:val="both"/>
      </w:pPr>
    </w:p>
    <w:p w:rsidR="006F29E2" w:rsidRPr="00EC48D5" w:rsidRDefault="006F29E2" w:rsidP="006F29E2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6F29E2" w:rsidRDefault="006F29E2" w:rsidP="006F29E2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6F29E2" w:rsidRDefault="006F29E2" w:rsidP="006F29E2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6F29E2" w:rsidRPr="00B92230" w:rsidRDefault="006F29E2" w:rsidP="006F29E2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6F29E2" w:rsidRDefault="006F29E2" w:rsidP="006F29E2">
      <w:pPr>
        <w:widowControl w:val="0"/>
        <w:jc w:val="both"/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81"/>
        <w:gridCol w:w="2555"/>
        <w:gridCol w:w="1739"/>
        <w:gridCol w:w="2126"/>
        <w:gridCol w:w="992"/>
      </w:tblGrid>
      <w:tr w:rsidR="006F29E2" w:rsidRPr="0010062E" w:rsidTr="00931AB8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81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Наименование характеристики Изделия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ГОСТ, технический регламент\обоснование использования показателя (в том числе его характеристика)</w:t>
            </w:r>
          </w:p>
        </w:tc>
        <w:tc>
          <w:tcPr>
            <w:tcW w:w="992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Количество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>Адгезивная</w:t>
            </w:r>
          </w:p>
          <w:p w:rsidR="006F29E2" w:rsidRPr="00FF1DD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>пластина</w:t>
            </w:r>
          </w:p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Клеевой слой на гидроколлоидной основе,</w:t>
            </w:r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не оказывающей раздражающего действия на кожу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10993-10-2011</w:t>
            </w:r>
          </w:p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Защитное покрытие необходимо для защиты клеевого слоя от загрязнения и сохранения высоких клеевых качеств пластины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ind w:firstLine="709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Защитное покрытие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Защитное покрытие для защиты клеевого слоя от загрязнения 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ind w:firstLine="709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Фланцевое соединение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ind w:firstLine="709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Диаметр фланцевого соединения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10062E">
                <w:rPr>
                  <w:sz w:val="22"/>
                  <w:szCs w:val="22"/>
                </w:rPr>
                <w:t>60 мм</w:t>
              </w:r>
            </w:smartTag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(размер </w:t>
            </w:r>
            <w:proofErr w:type="spellStart"/>
            <w:r w:rsidRPr="0010062E">
              <w:rPr>
                <w:sz w:val="22"/>
                <w:szCs w:val="22"/>
              </w:rPr>
              <w:t>стомы</w:t>
            </w:r>
            <w:proofErr w:type="spellEnd"/>
            <w:r w:rsidRPr="0010062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  <w:proofErr w:type="spellStart"/>
            <w:r w:rsidRPr="00FF1DD3">
              <w:rPr>
                <w:sz w:val="21"/>
                <w:szCs w:val="20"/>
              </w:rPr>
              <w:t>Уростомный</w:t>
            </w:r>
            <w:proofErr w:type="spellEnd"/>
            <w:r w:rsidRPr="00FF1DD3">
              <w:rPr>
                <w:sz w:val="21"/>
                <w:szCs w:val="20"/>
              </w:rPr>
              <w:t xml:space="preserve"> мешок</w:t>
            </w:r>
          </w:p>
        </w:tc>
        <w:tc>
          <w:tcPr>
            <w:tcW w:w="2555" w:type="dxa"/>
            <w:shd w:val="clear" w:color="auto" w:fill="auto"/>
          </w:tcPr>
          <w:p w:rsidR="006F29E2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Материал мешка мног</w:t>
            </w:r>
            <w:r>
              <w:rPr>
                <w:sz w:val="22"/>
                <w:szCs w:val="22"/>
              </w:rPr>
              <w:t xml:space="preserve">ослойный, не пропускающий запах, </w:t>
            </w:r>
          </w:p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нетканой</w:t>
            </w:r>
            <w:r w:rsidRPr="008114CF">
              <w:rPr>
                <w:sz w:val="22"/>
                <w:szCs w:val="22"/>
              </w:rPr>
              <w:t xml:space="preserve"> подложкой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Сливной обратный клапан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Pr="0010062E">
              <w:rPr>
                <w:sz w:val="22"/>
                <w:szCs w:val="22"/>
              </w:rPr>
              <w:t>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Фланцевое соединение, комплементарное </w:t>
            </w:r>
            <w:r w:rsidRPr="0010062E">
              <w:rPr>
                <w:sz w:val="22"/>
                <w:szCs w:val="22"/>
              </w:rPr>
              <w:lastRenderedPageBreak/>
              <w:t xml:space="preserve">пластине с фланцевым соединением диаметром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10062E">
                <w:rPr>
                  <w:sz w:val="22"/>
                  <w:szCs w:val="22"/>
                </w:rPr>
                <w:t>60 мм</w:t>
              </w:r>
            </w:smartTag>
            <w:r w:rsidRPr="0010062E">
              <w:rPr>
                <w:sz w:val="22"/>
                <w:szCs w:val="22"/>
              </w:rPr>
              <w:t xml:space="preserve">, указанной в п. </w:t>
            </w:r>
            <w:r>
              <w:rPr>
                <w:sz w:val="22"/>
                <w:szCs w:val="22"/>
              </w:rPr>
              <w:t>1</w:t>
            </w:r>
            <w:r w:rsidRPr="0010062E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lastRenderedPageBreak/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B13B3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B13B33">
              <w:rPr>
                <w:bCs/>
                <w:sz w:val="21"/>
                <w:szCs w:val="20"/>
              </w:rPr>
              <w:t>Адгезивная</w:t>
            </w:r>
          </w:p>
          <w:p w:rsidR="006F29E2" w:rsidRPr="00B13B3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B13B33">
              <w:rPr>
                <w:bCs/>
                <w:sz w:val="21"/>
                <w:szCs w:val="20"/>
              </w:rPr>
              <w:t>пластина</w:t>
            </w:r>
          </w:p>
          <w:p w:rsidR="006F29E2" w:rsidRPr="00B13B3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Клеевой слой на гидроколлоидной основе,</w:t>
            </w:r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не оказывающей раздражающего действия на кожу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10993-10-2011</w:t>
            </w:r>
          </w:p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Защитное покрытие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Защитное покрытие для защиты клеевого слоя от загрязнения 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Фланцевое соединение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Диаметр фланцевого соединения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0062E">
                <w:rPr>
                  <w:sz w:val="22"/>
                  <w:szCs w:val="22"/>
                </w:rPr>
                <w:t>40 мм</w:t>
              </w:r>
            </w:smartTag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(размер </w:t>
            </w:r>
            <w:proofErr w:type="spellStart"/>
            <w:r w:rsidRPr="0010062E">
              <w:rPr>
                <w:sz w:val="22"/>
                <w:szCs w:val="22"/>
              </w:rPr>
              <w:t>стомы</w:t>
            </w:r>
            <w:proofErr w:type="spellEnd"/>
            <w:r w:rsidRPr="0010062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  <w:proofErr w:type="spellStart"/>
            <w:r w:rsidRPr="00FF1DD3">
              <w:rPr>
                <w:sz w:val="21"/>
                <w:szCs w:val="20"/>
              </w:rPr>
              <w:t>Уростомный</w:t>
            </w:r>
            <w:proofErr w:type="spellEnd"/>
            <w:r w:rsidRPr="00FF1DD3">
              <w:rPr>
                <w:sz w:val="21"/>
                <w:szCs w:val="20"/>
              </w:rPr>
              <w:t xml:space="preserve"> мешок</w:t>
            </w:r>
          </w:p>
        </w:tc>
        <w:tc>
          <w:tcPr>
            <w:tcW w:w="2555" w:type="dxa"/>
            <w:shd w:val="clear" w:color="auto" w:fill="auto"/>
          </w:tcPr>
          <w:p w:rsidR="006F29E2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Материал мешка мног</w:t>
            </w:r>
            <w:r>
              <w:rPr>
                <w:sz w:val="22"/>
                <w:szCs w:val="22"/>
              </w:rPr>
              <w:t xml:space="preserve">ослойный, не пропускающий запах, </w:t>
            </w:r>
          </w:p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нетканой</w:t>
            </w:r>
            <w:r w:rsidRPr="008114CF">
              <w:rPr>
                <w:sz w:val="22"/>
                <w:szCs w:val="22"/>
              </w:rPr>
              <w:t xml:space="preserve"> подложкой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Сливной обратный клапан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Pr="0010062E">
              <w:rPr>
                <w:sz w:val="22"/>
                <w:szCs w:val="22"/>
              </w:rPr>
              <w:t>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Фланцевое соединение, комплементарное пластине с фланцевым соединением диаметром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0062E">
                <w:rPr>
                  <w:sz w:val="22"/>
                  <w:szCs w:val="22"/>
                </w:rPr>
                <w:t>40 мм</w:t>
              </w:r>
            </w:smartTag>
            <w:r w:rsidRPr="0010062E">
              <w:rPr>
                <w:sz w:val="22"/>
                <w:szCs w:val="22"/>
              </w:rPr>
              <w:t xml:space="preserve">, указанной в п. </w:t>
            </w:r>
            <w:r>
              <w:rPr>
                <w:sz w:val="22"/>
                <w:szCs w:val="22"/>
              </w:rPr>
              <w:t>2</w:t>
            </w:r>
            <w:r w:rsidRPr="0010062E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 xml:space="preserve"> Адгезивная</w:t>
            </w:r>
          </w:p>
          <w:p w:rsidR="006F29E2" w:rsidRPr="00FF1DD3" w:rsidRDefault="006F29E2" w:rsidP="00931AB8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>пластина</w:t>
            </w:r>
          </w:p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Клеевой слой на гидроколлоидной основе,</w:t>
            </w:r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не оказывающей раздражающего действия на кожу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 10993-10-2011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Защитное покрытие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Фланцевое соединение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Диаметр фланцевого соединения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0062E">
                <w:rPr>
                  <w:sz w:val="22"/>
                  <w:szCs w:val="22"/>
                </w:rPr>
                <w:t>50 мм</w:t>
              </w:r>
            </w:smartTag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(размер </w:t>
            </w:r>
            <w:proofErr w:type="spellStart"/>
            <w:r w:rsidRPr="0010062E">
              <w:rPr>
                <w:sz w:val="22"/>
                <w:szCs w:val="22"/>
              </w:rPr>
              <w:t>стомы</w:t>
            </w:r>
            <w:proofErr w:type="spellEnd"/>
            <w:r w:rsidRPr="0010062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3.1.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  <w:proofErr w:type="spellStart"/>
            <w:r w:rsidRPr="00FF1DD3">
              <w:rPr>
                <w:sz w:val="21"/>
                <w:szCs w:val="20"/>
              </w:rPr>
              <w:t>Уростомный</w:t>
            </w:r>
            <w:proofErr w:type="spellEnd"/>
            <w:r w:rsidRPr="00FF1DD3">
              <w:rPr>
                <w:sz w:val="21"/>
                <w:szCs w:val="20"/>
              </w:rPr>
              <w:t xml:space="preserve"> мешок</w:t>
            </w:r>
          </w:p>
        </w:tc>
        <w:tc>
          <w:tcPr>
            <w:tcW w:w="2555" w:type="dxa"/>
            <w:shd w:val="clear" w:color="auto" w:fill="auto"/>
          </w:tcPr>
          <w:p w:rsidR="006F29E2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Материал мешка мног</w:t>
            </w:r>
            <w:r>
              <w:rPr>
                <w:sz w:val="22"/>
                <w:szCs w:val="22"/>
              </w:rPr>
              <w:t xml:space="preserve">ослойный, не пропускающий запах, </w:t>
            </w:r>
          </w:p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нетканой</w:t>
            </w:r>
            <w:r w:rsidRPr="008114CF">
              <w:rPr>
                <w:sz w:val="22"/>
                <w:szCs w:val="22"/>
              </w:rPr>
              <w:t xml:space="preserve"> подложкой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Сливной обратный клапан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Pr="0010062E">
              <w:rPr>
                <w:sz w:val="22"/>
                <w:szCs w:val="22"/>
              </w:rPr>
              <w:t>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Фланцевое соединение, комплементарное пластине с фланцевым соединением диаметром не менее 50 мм, указанной в п.</w:t>
            </w:r>
            <w:r>
              <w:rPr>
                <w:sz w:val="22"/>
                <w:szCs w:val="22"/>
              </w:rPr>
              <w:t>3</w:t>
            </w:r>
            <w:r w:rsidRPr="0010062E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bCs/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2555" w:type="dxa"/>
            <w:shd w:val="clear" w:color="auto" w:fill="auto"/>
          </w:tcPr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Материал мешка многослойный, не пропускающий запах 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Двойная запайка мешка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Необходима для обеспечения надежной </w:t>
            </w:r>
            <w:r>
              <w:rPr>
                <w:sz w:val="22"/>
                <w:szCs w:val="22"/>
              </w:rPr>
              <w:t xml:space="preserve">защиты мешка от разрыва 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Форма мешка -  анатомическая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Повторяет контуры тела, незаметна под одеждой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Внутренние полости для равномерного распределения мочи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Равномерно распределяют мочу внутри и сохраняют плоскую форму мочеприемника, незаметную под одеждой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Мягкая подложка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 10993-10-2011</w:t>
            </w:r>
          </w:p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Защищает кожу передней брюшной стенки от раздражения и опрелости при контакте с мешком.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и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клапаны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клапан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 xml:space="preserve">для дренирования (опорожнения) мешка.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 (обратный сливной клапан)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>для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lastRenderedPageBreak/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Универсальный переходник для соединения с </w:t>
            </w:r>
            <w:proofErr w:type="spellStart"/>
            <w:r w:rsidRPr="0010062E">
              <w:rPr>
                <w:sz w:val="22"/>
                <w:szCs w:val="22"/>
              </w:rPr>
              <w:t>уропрезервативом</w:t>
            </w:r>
            <w:proofErr w:type="spellEnd"/>
            <w:r w:rsidRPr="0010062E">
              <w:rPr>
                <w:sz w:val="22"/>
                <w:szCs w:val="22"/>
              </w:rPr>
              <w:t xml:space="preserve"> или катетером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Специфика заболевания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Отверстия для крепления ремней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Ремни для крепления ножного мешка имеют пуговицы, которые вставляются в отверстие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Регулируемая, не закручиваемая, не перегибаемая дренажная трубка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постоянного</w:t>
            </w:r>
            <w:r w:rsidRPr="0010062E">
              <w:rPr>
                <w:sz w:val="22"/>
                <w:szCs w:val="22"/>
              </w:rPr>
              <w:t xml:space="preserve"> отток</w:t>
            </w:r>
            <w:r>
              <w:rPr>
                <w:sz w:val="22"/>
                <w:szCs w:val="22"/>
              </w:rPr>
              <w:t>а</w:t>
            </w:r>
            <w:r w:rsidRPr="0010062E">
              <w:rPr>
                <w:sz w:val="22"/>
                <w:szCs w:val="22"/>
              </w:rPr>
              <w:t xml:space="preserve"> мочи в мочеприемник и </w:t>
            </w:r>
            <w:r>
              <w:rPr>
                <w:sz w:val="22"/>
                <w:szCs w:val="22"/>
              </w:rPr>
              <w:t>регулирования</w:t>
            </w:r>
            <w:r w:rsidRPr="0010062E">
              <w:rPr>
                <w:sz w:val="22"/>
                <w:szCs w:val="22"/>
              </w:rPr>
              <w:t xml:space="preserve"> по длине в соответствии с ростом человека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Возможность регулировки дренажной трубки от 25см (включительно) до 50см (включительно)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Антропометрические данные получателя (</w:t>
            </w:r>
            <w:r w:rsidRPr="0010062E">
              <w:rPr>
                <w:sz w:val="22"/>
                <w:szCs w:val="22"/>
              </w:rPr>
              <w:t>регулируется по длине в соответствии с ростом человека)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>не менее 3 суток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Нестерильный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  <w:vMerge w:val="restart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FF1DD3" w:rsidRDefault="006F29E2" w:rsidP="00931AB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Объем мешков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350мл и не более 800</w:t>
            </w:r>
            <w:r w:rsidRPr="0010062E">
              <w:rPr>
                <w:sz w:val="22"/>
                <w:szCs w:val="22"/>
              </w:rPr>
              <w:t>мл</w:t>
            </w:r>
          </w:p>
        </w:tc>
        <w:tc>
          <w:tcPr>
            <w:tcW w:w="2126" w:type="dxa"/>
            <w:vMerge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15</w:t>
            </w:r>
            <w:r w:rsidRPr="005C6652">
              <w:rPr>
                <w:sz w:val="22"/>
                <w:szCs w:val="22"/>
              </w:rPr>
              <w:t xml:space="preserve"> суток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Возможность регулировать ремешок по длине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ремешка зависит от толщины ноги)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bCs/>
                <w:sz w:val="22"/>
                <w:szCs w:val="22"/>
              </w:rPr>
              <w:t>Мочеприемник прикроватный (мешок для сбора мочи), ночной</w:t>
            </w:r>
          </w:p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8114CF" w:rsidRDefault="006F29E2" w:rsidP="00931AB8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Материал мешка многослойный, не пропускающий запах </w:t>
            </w:r>
          </w:p>
        </w:tc>
        <w:tc>
          <w:tcPr>
            <w:tcW w:w="1739" w:type="dxa"/>
            <w:shd w:val="clear" w:color="auto" w:fill="auto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8114CF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Мягкая подложка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 10993-10-2011</w:t>
            </w:r>
          </w:p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lastRenderedPageBreak/>
              <w:t>Защищает кожу передней брюшной стенки от раздражения и опрелости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и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клапаны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клапан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 xml:space="preserve">для дренирования (опорожнения) мешка.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 (обратный сливной клапан)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>для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Универсальный переходник для соединения с </w:t>
            </w:r>
            <w:proofErr w:type="spellStart"/>
            <w:r w:rsidRPr="0010062E">
              <w:rPr>
                <w:sz w:val="22"/>
                <w:szCs w:val="22"/>
              </w:rPr>
              <w:t>уропрезервативом</w:t>
            </w:r>
            <w:proofErr w:type="spellEnd"/>
            <w:r w:rsidRPr="0010062E">
              <w:rPr>
                <w:sz w:val="22"/>
                <w:szCs w:val="22"/>
              </w:rPr>
              <w:t xml:space="preserve"> или катетером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Специфика заболевания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Регулируемая, не закручиваемая, не перегибаемая дренажная трубка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постоянного</w:t>
            </w:r>
            <w:r w:rsidRPr="0010062E">
              <w:rPr>
                <w:sz w:val="22"/>
                <w:szCs w:val="22"/>
              </w:rPr>
              <w:t xml:space="preserve"> отток</w:t>
            </w:r>
            <w:r>
              <w:rPr>
                <w:sz w:val="22"/>
                <w:szCs w:val="22"/>
              </w:rPr>
              <w:t>а</w:t>
            </w:r>
            <w:r w:rsidRPr="0010062E">
              <w:rPr>
                <w:sz w:val="22"/>
                <w:szCs w:val="22"/>
              </w:rPr>
              <w:t xml:space="preserve"> мочи в мочеприемник и </w:t>
            </w:r>
            <w:r>
              <w:rPr>
                <w:sz w:val="22"/>
                <w:szCs w:val="22"/>
              </w:rPr>
              <w:t>регулирования</w:t>
            </w:r>
            <w:r w:rsidRPr="0010062E">
              <w:rPr>
                <w:sz w:val="22"/>
                <w:szCs w:val="22"/>
              </w:rPr>
              <w:t xml:space="preserve"> по длине в соответствии с ростом человека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Возможность регулировки дренажной трубки до 90см (включительно)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Антропометрические данные получателя (</w:t>
            </w:r>
            <w:r w:rsidRPr="0010062E">
              <w:rPr>
                <w:sz w:val="22"/>
                <w:szCs w:val="22"/>
              </w:rPr>
              <w:t>регулируется по длине в соответствии с ростом человека)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>не менее 3 суток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Мерные отметки на передней стенке мешка, по которым определяется объем мочи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определения объема мочеотделения </w:t>
            </w:r>
            <w:r>
              <w:rPr>
                <w:sz w:val="22"/>
                <w:szCs w:val="22"/>
              </w:rPr>
              <w:t>(</w:t>
            </w:r>
            <w:r w:rsidRPr="0010062E">
              <w:rPr>
                <w:sz w:val="22"/>
                <w:szCs w:val="22"/>
              </w:rPr>
              <w:t>по медицинским показаниям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Нестерильный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  <w:vMerge w:val="restart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Объем мешков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не менее 1500 мл</w:t>
            </w:r>
          </w:p>
        </w:tc>
        <w:tc>
          <w:tcPr>
            <w:tcW w:w="2126" w:type="dxa"/>
            <w:vMerge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10062E">
              <w:rPr>
                <w:bCs/>
                <w:sz w:val="22"/>
                <w:szCs w:val="22"/>
              </w:rPr>
              <w:t>Уропрезерватив</w:t>
            </w:r>
            <w:proofErr w:type="spellEnd"/>
            <w:r w:rsidRPr="0010062E">
              <w:rPr>
                <w:bCs/>
                <w:sz w:val="22"/>
                <w:szCs w:val="22"/>
              </w:rPr>
              <w:t xml:space="preserve"> с пластырем</w:t>
            </w: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Кратность применения: однократного применения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52770-2007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Двухсторонний гидроколлоидный </w:t>
            </w:r>
            <w:r w:rsidRPr="0010062E">
              <w:rPr>
                <w:sz w:val="22"/>
                <w:szCs w:val="22"/>
              </w:rPr>
              <w:lastRenderedPageBreak/>
              <w:t xml:space="preserve">пластырь, обладающий «памятью материала», предохраняющий половой орган от </w:t>
            </w:r>
            <w:proofErr w:type="spellStart"/>
            <w:r w:rsidRPr="0010062E">
              <w:rPr>
                <w:sz w:val="22"/>
                <w:szCs w:val="22"/>
              </w:rPr>
              <w:t>констрикции</w:t>
            </w:r>
            <w:proofErr w:type="spellEnd"/>
            <w:r w:rsidRPr="0010062E">
              <w:rPr>
                <w:sz w:val="22"/>
                <w:szCs w:val="22"/>
              </w:rPr>
              <w:t>, с усиленным сливным портом и ригидным концом, обеспечивающим постоянный и беспрепятственный отток, мочи при перегибании на 90 градусов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Защита сосудов полового члена от </w:t>
            </w:r>
            <w:r w:rsidRPr="0010062E">
              <w:rPr>
                <w:sz w:val="22"/>
                <w:szCs w:val="22"/>
              </w:rPr>
              <w:lastRenderedPageBreak/>
              <w:t>ишемии. Усиленный сливной порт и ригидный конец обеспечивают защиту от обратного заброса мочи в почки (риск инфицирования)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Защита от протекания - не менее 24 часов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B62524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 xml:space="preserve">Количество размеров </w:t>
            </w:r>
            <w:proofErr w:type="spellStart"/>
            <w:r w:rsidRPr="00B62524">
              <w:rPr>
                <w:sz w:val="22"/>
                <w:szCs w:val="22"/>
              </w:rPr>
              <w:t>уропрезервативов</w:t>
            </w:r>
            <w:proofErr w:type="spellEnd"/>
            <w:r w:rsidRPr="00B62524">
              <w:rPr>
                <w:sz w:val="22"/>
                <w:szCs w:val="22"/>
              </w:rPr>
              <w:t xml:space="preserve"> (с «шагом» не более 5мм)</w:t>
            </w:r>
          </w:p>
        </w:tc>
        <w:tc>
          <w:tcPr>
            <w:tcW w:w="1739" w:type="dxa"/>
            <w:shd w:val="clear" w:color="auto" w:fill="auto"/>
          </w:tcPr>
          <w:p w:rsidR="006F29E2" w:rsidRPr="00FB0CE8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FB0CE8">
              <w:rPr>
                <w:sz w:val="22"/>
                <w:szCs w:val="22"/>
              </w:rPr>
              <w:t>не менее 3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B62524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 xml:space="preserve">Диаметр </w:t>
            </w:r>
            <w:proofErr w:type="spellStart"/>
            <w:r w:rsidRPr="00B62524">
              <w:rPr>
                <w:sz w:val="22"/>
                <w:szCs w:val="22"/>
              </w:rPr>
              <w:t>уропрезервативов</w:t>
            </w:r>
            <w:proofErr w:type="spellEnd"/>
            <w:r w:rsidRPr="00B62524">
              <w:rPr>
                <w:sz w:val="22"/>
                <w:szCs w:val="22"/>
              </w:rPr>
              <w:t xml:space="preserve"> наибольшего размера не менее 35мм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10062E">
              <w:rPr>
                <w:bCs/>
                <w:sz w:val="22"/>
                <w:szCs w:val="22"/>
              </w:rPr>
              <w:t>Уропрезерватив</w:t>
            </w:r>
            <w:proofErr w:type="spellEnd"/>
          </w:p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bCs/>
                <w:sz w:val="22"/>
                <w:szCs w:val="22"/>
              </w:rPr>
              <w:t>самоклеящийся</w:t>
            </w: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Кратность применения: однократного применения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52770-2007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B62524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>Адгезивная (клеящаяся) полоска на внутренней поверхности, усиленный сливной порт и ригидный конец, обеспечивающий постоянный и беспрепятственный отток мочи при перегибании на 90 градусов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фиксации </w:t>
            </w:r>
            <w:proofErr w:type="spellStart"/>
            <w:r w:rsidRPr="0010062E">
              <w:rPr>
                <w:sz w:val="22"/>
                <w:szCs w:val="22"/>
              </w:rPr>
              <w:t>уропрезерватива</w:t>
            </w:r>
            <w:proofErr w:type="spellEnd"/>
            <w:r w:rsidRPr="0010062E">
              <w:rPr>
                <w:sz w:val="22"/>
                <w:szCs w:val="22"/>
              </w:rPr>
              <w:t xml:space="preserve"> на органе. Усиленный сливной порт и ригидный конец обеспечивают защиту от обратного заброса мочи в почки (риск инфицирования). </w:t>
            </w:r>
            <w:proofErr w:type="spellStart"/>
            <w:r w:rsidRPr="0010062E">
              <w:rPr>
                <w:sz w:val="22"/>
                <w:szCs w:val="22"/>
              </w:rPr>
              <w:t>Апликатор</w:t>
            </w:r>
            <w:proofErr w:type="spellEnd"/>
            <w:r w:rsidRPr="0010062E">
              <w:rPr>
                <w:sz w:val="22"/>
                <w:szCs w:val="22"/>
              </w:rPr>
              <w:t xml:space="preserve"> необходим для удобства фиксации </w:t>
            </w:r>
            <w:proofErr w:type="spellStart"/>
            <w:r w:rsidRPr="0010062E">
              <w:rPr>
                <w:sz w:val="22"/>
                <w:szCs w:val="22"/>
              </w:rPr>
              <w:t>уропрезерватива</w:t>
            </w:r>
            <w:proofErr w:type="spellEnd"/>
            <w:r w:rsidRPr="0010062E">
              <w:rPr>
                <w:sz w:val="22"/>
                <w:szCs w:val="22"/>
              </w:rPr>
              <w:t xml:space="preserve"> на органе.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Защита от протекания - не менее 24 часов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B62524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 xml:space="preserve">Количество размеров </w:t>
            </w:r>
            <w:proofErr w:type="spellStart"/>
            <w:r w:rsidRPr="00B62524">
              <w:rPr>
                <w:sz w:val="22"/>
                <w:szCs w:val="22"/>
              </w:rPr>
              <w:t>уропрезервативов</w:t>
            </w:r>
            <w:proofErr w:type="spellEnd"/>
            <w:r w:rsidRPr="00B62524">
              <w:rPr>
                <w:sz w:val="22"/>
                <w:szCs w:val="22"/>
              </w:rPr>
              <w:t xml:space="preserve"> (с «шагом» не более 5мм)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FB0CE8">
              <w:rPr>
                <w:sz w:val="22"/>
                <w:szCs w:val="22"/>
              </w:rPr>
              <w:t>не менее 4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Диаметр </w:t>
            </w:r>
            <w:proofErr w:type="spellStart"/>
            <w:r w:rsidRPr="0010062E">
              <w:rPr>
                <w:sz w:val="22"/>
                <w:szCs w:val="22"/>
              </w:rPr>
              <w:t>уропрезервативов</w:t>
            </w:r>
            <w:proofErr w:type="spellEnd"/>
            <w:r w:rsidRPr="0010062E">
              <w:rPr>
                <w:sz w:val="22"/>
                <w:szCs w:val="22"/>
              </w:rPr>
              <w:t xml:space="preserve"> в диапаз</w:t>
            </w:r>
            <w:r>
              <w:rPr>
                <w:sz w:val="22"/>
                <w:szCs w:val="22"/>
              </w:rPr>
              <w:t xml:space="preserve">оне от 20мм (включительно) </w:t>
            </w:r>
            <w:r w:rsidRPr="00FB0CE8">
              <w:rPr>
                <w:sz w:val="22"/>
                <w:szCs w:val="22"/>
              </w:rPr>
              <w:t>до 41мм</w:t>
            </w:r>
          </w:p>
        </w:tc>
        <w:tc>
          <w:tcPr>
            <w:tcW w:w="1739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014A1F">
              <w:rPr>
                <w:bCs/>
                <w:sz w:val="22"/>
                <w:szCs w:val="22"/>
              </w:rPr>
              <w:t>Уретральные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014A1F">
              <w:rPr>
                <w:bCs/>
                <w:sz w:val="22"/>
                <w:szCs w:val="22"/>
              </w:rPr>
              <w:t>катетеры для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014A1F">
              <w:rPr>
                <w:bCs/>
                <w:sz w:val="22"/>
                <w:szCs w:val="22"/>
              </w:rPr>
              <w:t>самокатетеризаци</w:t>
            </w:r>
            <w:r w:rsidRPr="00014A1F">
              <w:rPr>
                <w:bCs/>
                <w:sz w:val="22"/>
                <w:szCs w:val="22"/>
              </w:rPr>
              <w:lastRenderedPageBreak/>
              <w:t>и</w:t>
            </w:r>
            <w:proofErr w:type="spellEnd"/>
            <w:r w:rsidRPr="00014A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4A1F">
              <w:rPr>
                <w:sz w:val="22"/>
                <w:szCs w:val="22"/>
              </w:rPr>
              <w:t>лубрицированные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lastRenderedPageBreak/>
              <w:t>Кратность применения: однократного применения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52770-2007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  <w:r w:rsidRPr="00014A1F">
              <w:t>64800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Покрытие катетера </w:t>
            </w:r>
            <w:proofErr w:type="spellStart"/>
            <w:r w:rsidRPr="00014A1F">
              <w:rPr>
                <w:sz w:val="22"/>
                <w:szCs w:val="22"/>
              </w:rPr>
              <w:t>лубрикант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</w:t>
            </w:r>
            <w:proofErr w:type="gramStart"/>
            <w:r w:rsidRPr="0010062E">
              <w:rPr>
                <w:sz w:val="22"/>
                <w:szCs w:val="22"/>
                <w:lang w:eastAsia="ar-SA"/>
              </w:rPr>
              <w:t>РФ</w:t>
            </w:r>
            <w:r>
              <w:rPr>
                <w:sz w:val="22"/>
                <w:szCs w:val="22"/>
                <w:lang w:eastAsia="ar-SA"/>
              </w:rPr>
              <w:t xml:space="preserve">  от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Обеспечение стерильности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катетеров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52770-2007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мужских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менее 38 см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мужской уретры)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женских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не менее 13 см 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более 21 см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женской уретры)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детских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не менее 13 см 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более 21 см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детской уретры)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для мальчиков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не менее 24 см 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более 32 см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уретры у мальчиков)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Наконечник катетера прямой цилиндрический (тип </w:t>
            </w:r>
            <w:proofErr w:type="spellStart"/>
            <w:r w:rsidRPr="00014A1F">
              <w:rPr>
                <w:sz w:val="22"/>
                <w:szCs w:val="22"/>
              </w:rPr>
              <w:t>Нелатон</w:t>
            </w:r>
            <w:proofErr w:type="spellEnd"/>
            <w:r w:rsidRPr="00014A1F">
              <w:rPr>
                <w:sz w:val="22"/>
                <w:szCs w:val="22"/>
              </w:rPr>
              <w:t>) с не менее чем двумя боковыми отверстиями, с отполированными краями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Безопасное введение катетера, </w:t>
            </w:r>
            <w:proofErr w:type="spellStart"/>
            <w:r w:rsidRPr="0010062E">
              <w:rPr>
                <w:sz w:val="22"/>
                <w:szCs w:val="22"/>
              </w:rPr>
              <w:t>минимализация</w:t>
            </w:r>
            <w:proofErr w:type="spellEnd"/>
            <w:r w:rsidRPr="0010062E">
              <w:rPr>
                <w:sz w:val="22"/>
                <w:szCs w:val="22"/>
              </w:rPr>
              <w:t xml:space="preserve"> риска </w:t>
            </w:r>
            <w:proofErr w:type="spellStart"/>
            <w:r w:rsidRPr="0010062E">
              <w:rPr>
                <w:sz w:val="22"/>
                <w:szCs w:val="22"/>
              </w:rPr>
              <w:t>травмирования</w:t>
            </w:r>
            <w:proofErr w:type="spellEnd"/>
            <w:r w:rsidRPr="0010062E">
              <w:rPr>
                <w:sz w:val="22"/>
                <w:szCs w:val="22"/>
              </w:rPr>
              <w:t xml:space="preserve"> уретры, обеспечение оттока мочи через катетер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Наконечник катетера изогнутый (тип </w:t>
            </w:r>
            <w:proofErr w:type="spellStart"/>
            <w:r w:rsidRPr="00014A1F">
              <w:rPr>
                <w:sz w:val="22"/>
                <w:szCs w:val="22"/>
              </w:rPr>
              <w:t>Тиманн</w:t>
            </w:r>
            <w:proofErr w:type="spellEnd"/>
            <w:r w:rsidRPr="00014A1F">
              <w:rPr>
                <w:sz w:val="22"/>
                <w:szCs w:val="22"/>
              </w:rPr>
              <w:t>) с не менее чем двумя боковыми отверстиями, с отполированными краями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Безопасное введение катетера, </w:t>
            </w:r>
            <w:proofErr w:type="spellStart"/>
            <w:r w:rsidRPr="0010062E">
              <w:rPr>
                <w:sz w:val="22"/>
                <w:szCs w:val="22"/>
              </w:rPr>
              <w:t>минимализация</w:t>
            </w:r>
            <w:proofErr w:type="spellEnd"/>
            <w:r w:rsidRPr="0010062E">
              <w:rPr>
                <w:sz w:val="22"/>
                <w:szCs w:val="22"/>
              </w:rPr>
              <w:t xml:space="preserve"> риска </w:t>
            </w:r>
            <w:proofErr w:type="spellStart"/>
            <w:r w:rsidRPr="0010062E">
              <w:rPr>
                <w:sz w:val="22"/>
                <w:szCs w:val="22"/>
              </w:rPr>
              <w:t>травмирования</w:t>
            </w:r>
            <w:proofErr w:type="spellEnd"/>
            <w:r w:rsidRPr="0010062E">
              <w:rPr>
                <w:sz w:val="22"/>
                <w:szCs w:val="22"/>
              </w:rPr>
              <w:t xml:space="preserve"> поврежденной уретры, обеспечение оттока мочи через катетер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Катетер должен иметь воронкообразный коннектор для соединения со стандартным мешком-мочеприемником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Для соединения с мешком мочеприемника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Катетер должен иметь коннектор </w:t>
            </w:r>
            <w:proofErr w:type="spellStart"/>
            <w:r w:rsidRPr="00014A1F">
              <w:rPr>
                <w:sz w:val="22"/>
                <w:szCs w:val="22"/>
              </w:rPr>
              <w:t>Луэр</w:t>
            </w:r>
            <w:proofErr w:type="spellEnd"/>
            <w:r w:rsidRPr="00014A1F">
              <w:rPr>
                <w:sz w:val="22"/>
                <w:szCs w:val="22"/>
              </w:rPr>
              <w:t xml:space="preserve"> с защитным колпачком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По медицинским показаниям для введения медикаментов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женских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должны быть всех </w:t>
            </w:r>
            <w:r w:rsidRPr="00014A1F">
              <w:rPr>
                <w:sz w:val="22"/>
                <w:szCs w:val="22"/>
              </w:rPr>
              <w:lastRenderedPageBreak/>
              <w:t>типоразмеров в диапазоне от 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16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мужских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должны быть всех типоразмеров в диапазоне от 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детских должны быть всех типоразмеров в диапазоне от 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10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для мальчиков должны быть всех типоразмеров в диапазоне от 10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12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265FB4">
              <w:rPr>
                <w:bCs/>
                <w:sz w:val="22"/>
                <w:szCs w:val="22"/>
              </w:rPr>
              <w:t>эпицистостомы</w:t>
            </w:r>
            <w:proofErr w:type="spellEnd"/>
            <w:r w:rsidRPr="00265FB4">
              <w:rPr>
                <w:bCs/>
                <w:sz w:val="22"/>
                <w:szCs w:val="22"/>
              </w:rPr>
              <w:t xml:space="preserve"> </w:t>
            </w:r>
          </w:p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265FB4">
              <w:rPr>
                <w:bCs/>
                <w:sz w:val="22"/>
                <w:szCs w:val="22"/>
              </w:rPr>
              <w:t>Фолея</w:t>
            </w:r>
            <w:proofErr w:type="spellEnd"/>
            <w:r w:rsidRPr="00265F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</w:pPr>
            <w:r w:rsidRPr="00014A1F">
              <w:t>Катетер двухходовой</w:t>
            </w:r>
          </w:p>
        </w:tc>
        <w:tc>
          <w:tcPr>
            <w:tcW w:w="1739" w:type="dxa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spacing w:line="240" w:lineRule="atLeast"/>
              <w:jc w:val="center"/>
            </w:pPr>
            <w:r w:rsidRPr="00014A1F"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Два входа: один-для оттока мочи, второй- для надувания </w:t>
            </w:r>
            <w:proofErr w:type="spellStart"/>
            <w:r w:rsidRPr="0010062E">
              <w:rPr>
                <w:sz w:val="22"/>
                <w:szCs w:val="22"/>
              </w:rPr>
              <w:t>балона</w:t>
            </w:r>
            <w:proofErr w:type="spellEnd"/>
            <w:r w:rsidRPr="0010062E">
              <w:rPr>
                <w:sz w:val="22"/>
                <w:szCs w:val="22"/>
              </w:rPr>
              <w:t>, удерживающего катетер внутри мочевого пузыря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014A1F" w:rsidRDefault="006F29E2" w:rsidP="00931AB8">
            <w:pPr>
              <w:widowControl w:val="0"/>
              <w:suppressAutoHyphens/>
              <w:jc w:val="center"/>
            </w:pPr>
            <w:r w:rsidRPr="00014A1F">
              <w:t>1980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Диапазон типоразмеров </w:t>
            </w:r>
            <w:r w:rsidRPr="00983B19">
              <w:rPr>
                <w:sz w:val="22"/>
                <w:szCs w:val="22"/>
              </w:rPr>
              <w:lastRenderedPageBreak/>
              <w:t xml:space="preserve">катетеров: от 10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6F29E2" w:rsidRPr="00983B19" w:rsidRDefault="006F29E2" w:rsidP="00931AB8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</w:t>
            </w:r>
            <w:r w:rsidRPr="0010062E">
              <w:rPr>
                <w:sz w:val="22"/>
                <w:szCs w:val="22"/>
              </w:rPr>
              <w:lastRenderedPageBreak/>
              <w:t>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 Катетер уретральный длительного пользования </w:t>
            </w:r>
          </w:p>
          <w:p w:rsidR="006F29E2" w:rsidRPr="00265FB4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265FB4">
              <w:rPr>
                <w:bCs/>
                <w:sz w:val="22"/>
                <w:szCs w:val="22"/>
              </w:rPr>
              <w:t>Фолея</w:t>
            </w:r>
            <w:proofErr w:type="spellEnd"/>
            <w:r w:rsidRPr="00265F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Катетер двухходовой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Два входа: один-для оттока мочи, второй- для надувания </w:t>
            </w:r>
            <w:proofErr w:type="spellStart"/>
            <w:r w:rsidRPr="0010062E">
              <w:rPr>
                <w:sz w:val="22"/>
                <w:szCs w:val="22"/>
              </w:rPr>
              <w:t>балона</w:t>
            </w:r>
            <w:proofErr w:type="spellEnd"/>
            <w:r w:rsidRPr="0010062E">
              <w:rPr>
                <w:sz w:val="22"/>
                <w:szCs w:val="22"/>
              </w:rPr>
              <w:t>, удерживающего катетер внутри мочевого пузыря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Диапазон типоразмеров катетеров: от 10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Катетер уретральный постоянного пользования 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983B19">
              <w:rPr>
                <w:bCs/>
                <w:sz w:val="22"/>
                <w:szCs w:val="22"/>
              </w:rPr>
              <w:t>Фолея</w:t>
            </w:r>
            <w:proofErr w:type="spellEnd"/>
            <w:r w:rsidRPr="00983B1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Катетер двухходовой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Два входа: один-для оттока мочи, второй- для надувания </w:t>
            </w:r>
            <w:proofErr w:type="spellStart"/>
            <w:r w:rsidRPr="0010062E">
              <w:rPr>
                <w:sz w:val="22"/>
                <w:szCs w:val="22"/>
              </w:rPr>
              <w:t>балона</w:t>
            </w:r>
            <w:proofErr w:type="spellEnd"/>
            <w:r w:rsidRPr="0010062E">
              <w:rPr>
                <w:sz w:val="22"/>
                <w:szCs w:val="22"/>
              </w:rPr>
              <w:t>, удерживающего катетер внутри мочевого пузыря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Диапазон типоразмеров катетеров: от 10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6F29E2" w:rsidRPr="005C6652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 месяца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1981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983B19">
              <w:rPr>
                <w:bCs/>
                <w:sz w:val="22"/>
                <w:szCs w:val="22"/>
              </w:rPr>
              <w:t>эпицистостомы</w:t>
            </w:r>
            <w:proofErr w:type="spellEnd"/>
            <w:r w:rsidRPr="00983B19">
              <w:rPr>
                <w:bCs/>
                <w:sz w:val="22"/>
                <w:szCs w:val="22"/>
              </w:rPr>
              <w:t xml:space="preserve"> 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983B19">
              <w:rPr>
                <w:bCs/>
                <w:sz w:val="22"/>
                <w:szCs w:val="22"/>
              </w:rPr>
              <w:t>Пеццера</w:t>
            </w:r>
            <w:proofErr w:type="spellEnd"/>
            <w:r w:rsidRPr="00983B1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Диапазон типоразмеров катетеров: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от 18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36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6F29E2" w:rsidRPr="00983B19" w:rsidRDefault="006F29E2" w:rsidP="00931AB8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6F29E2" w:rsidRPr="0010062E" w:rsidTr="00931AB8">
        <w:trPr>
          <w:trHeight w:val="157"/>
          <w:jc w:val="center"/>
        </w:trPr>
        <w:tc>
          <w:tcPr>
            <w:tcW w:w="9029" w:type="dxa"/>
            <w:gridSpan w:val="5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F29E2" w:rsidRPr="0010062E" w:rsidRDefault="006F29E2" w:rsidP="00931AB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114160</w:t>
            </w:r>
          </w:p>
        </w:tc>
      </w:tr>
    </w:tbl>
    <w:p w:rsidR="006F29E2" w:rsidRDefault="006F29E2" w:rsidP="006F29E2">
      <w:pPr>
        <w:jc w:val="both"/>
      </w:pPr>
    </w:p>
    <w:p w:rsidR="006F29E2" w:rsidRDefault="006F29E2" w:rsidP="006F29E2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6F29E2" w:rsidRDefault="006F29E2" w:rsidP="006F29E2">
      <w:pPr>
        <w:jc w:val="both"/>
      </w:pPr>
    </w:p>
    <w:p w:rsidR="006F29E2" w:rsidRPr="00612097" w:rsidRDefault="006F29E2" w:rsidP="006F29E2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6F29E2" w:rsidRDefault="006F29E2" w:rsidP="006F29E2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6F29E2" w:rsidRDefault="006F29E2" w:rsidP="006F29E2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6F29E2" w:rsidRDefault="006F29E2" w:rsidP="006F29E2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6F29E2" w:rsidRDefault="006F29E2" w:rsidP="006F29E2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6F29E2" w:rsidRDefault="006F29E2" w:rsidP="006F29E2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6F29E2" w:rsidRDefault="006F29E2" w:rsidP="006F29E2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6F29E2" w:rsidRDefault="006F29E2" w:rsidP="006F29E2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6F29E2" w:rsidRDefault="006F29E2" w:rsidP="006F29E2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6F29E2" w:rsidRDefault="006F29E2" w:rsidP="006F29E2">
      <w:pPr>
        <w:jc w:val="both"/>
        <w:rPr>
          <w:sz w:val="22"/>
          <w:szCs w:val="22"/>
        </w:rPr>
      </w:pPr>
      <w:r w:rsidRPr="007E21C7"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6F29E2" w:rsidRDefault="006F29E2" w:rsidP="006F29E2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6F29E2" w:rsidRDefault="006F29E2" w:rsidP="006F29E2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6F29E2" w:rsidRPr="0014478F" w:rsidRDefault="006F29E2" w:rsidP="006F29E2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6F29E2" w:rsidRDefault="006F29E2" w:rsidP="006F29E2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6F29E2" w:rsidRDefault="006F29E2" w:rsidP="006F29E2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заданием), подобранных </w:t>
      </w:r>
      <w:r w:rsidRPr="005F2B85">
        <w:t xml:space="preserve">врачом-урологом </w:t>
      </w:r>
      <w:r>
        <w:rPr>
          <w:rFonts w:ascii="Times New Roman CYR" w:hAnsi="Times New Roman CYR" w:cs="Times New Roman CYR"/>
        </w:rPr>
        <w:t xml:space="preserve">или врачом-онкологом в зависимости от вида имеющейся патологии, функциональных нарушений, особенностей течения заболевания, вида, формы и размера </w:t>
      </w:r>
      <w:proofErr w:type="spellStart"/>
      <w:r>
        <w:rPr>
          <w:rFonts w:ascii="Times New Roman CYR" w:hAnsi="Times New Roman CYR" w:cs="Times New Roman CYR"/>
        </w:rPr>
        <w:t>стомы</w:t>
      </w:r>
      <w:proofErr w:type="spellEnd"/>
      <w:r>
        <w:rPr>
          <w:rFonts w:ascii="Times New Roman CYR" w:hAnsi="Times New Roman CYR" w:cs="Times New Roman CYR"/>
        </w:rPr>
        <w:t xml:space="preserve">, состояния кожи вокруг неё, </w:t>
      </w:r>
      <w:r>
        <w:t>вида нарушения (задержка мочи) и</w:t>
      </w:r>
      <w:r w:rsidRPr="005F2B85">
        <w:t xml:space="preserve"> уровня физической активности </w:t>
      </w:r>
      <w:r w:rsidRPr="00301C41">
        <w:rPr>
          <w:rFonts w:ascii="Times New Roman CYR" w:hAnsi="Times New Roman CYR" w:cs="Times New Roman CYR"/>
        </w:rPr>
        <w:t xml:space="preserve">по месту нахождения пунктов - в день обращения Получателей, либо с доставкой на дом - </w:t>
      </w:r>
      <w:r w:rsidRPr="009A1ABC">
        <w:rPr>
          <w:lang w:eastAsia="ar-SA"/>
        </w:rPr>
        <w:t>в срок не более 5 (пяти)</w:t>
      </w:r>
      <w:r w:rsidRPr="00986684">
        <w:rPr>
          <w:lang w:eastAsia="ar-SA"/>
        </w:rPr>
        <w:t xml:space="preserve"> рабочих дней</w:t>
      </w:r>
      <w:r w:rsidRPr="00301C41">
        <w:rPr>
          <w:lang w:eastAsia="ar-SA"/>
        </w:rPr>
        <w:t xml:space="preserve"> со дня получения от Получателя направления</w:t>
      </w:r>
      <w:r>
        <w:rPr>
          <w:lang w:eastAsia="ar-SA"/>
        </w:rPr>
        <w:t xml:space="preserve"> и </w:t>
      </w:r>
      <w:r w:rsidRPr="00AF2AAC">
        <w:rPr>
          <w:lang w:eastAsia="ar-SA"/>
        </w:rPr>
        <w:t>письменного заявления в адрес поставщика с указанием адреса доставки и телефона</w:t>
      </w:r>
      <w:r w:rsidRPr="00301C4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6F29E2" w:rsidRDefault="006F29E2" w:rsidP="006F29E2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6F29E2" w:rsidRDefault="006F29E2" w:rsidP="006F29E2"/>
    <w:p w:rsidR="006F29E2" w:rsidRPr="00612097" w:rsidRDefault="006F29E2" w:rsidP="006F29E2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6F29E2" w:rsidRDefault="006F29E2" w:rsidP="006F29E2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6F29E2" w:rsidRDefault="006F29E2" w:rsidP="006F29E2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6F29E2" w:rsidRDefault="006F29E2" w:rsidP="006F29E2">
      <w:pPr>
        <w:suppressAutoHyphens/>
        <w:spacing w:line="240" w:lineRule="atLeast"/>
        <w:jc w:val="both"/>
      </w:pPr>
      <w:r>
        <w:lastRenderedPageBreak/>
        <w:t xml:space="preserve">- по месту нахождения Получателя. </w:t>
      </w:r>
    </w:p>
    <w:p w:rsidR="006F29E2" w:rsidRPr="0014478F" w:rsidRDefault="006F29E2" w:rsidP="006F29E2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6F29E2" w:rsidRDefault="006F29E2" w:rsidP="006F29E2">
      <w:pPr>
        <w:suppressAutoHyphens/>
        <w:spacing w:line="240" w:lineRule="atLeast"/>
        <w:jc w:val="both"/>
      </w:pPr>
      <w:r>
        <w:rPr>
          <w:szCs w:val="20"/>
        </w:rPr>
        <w:t xml:space="preserve">3.2.1.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6F29E2" w:rsidRDefault="006F29E2" w:rsidP="006F29E2">
      <w:pPr>
        <w:jc w:val="both"/>
      </w:pPr>
      <w:r w:rsidRPr="00C54675">
        <w:t xml:space="preserve">Количество пунктов – не менее 7 (семи) расположенных на территории разных районов Санкт-Петербурга. </w:t>
      </w:r>
      <w:r w:rsidRPr="0014478F">
        <w:t xml:space="preserve">Максимальное время ожидания Получателей </w:t>
      </w:r>
      <w:r>
        <w:t>в очереди не должно превышать 15</w:t>
      </w:r>
      <w:r w:rsidRPr="0014478F">
        <w:t xml:space="preserve"> минут.</w:t>
      </w:r>
    </w:p>
    <w:p w:rsidR="006F29E2" w:rsidRPr="0014478F" w:rsidRDefault="006F29E2" w:rsidP="006F29E2">
      <w:pPr>
        <w:suppressAutoHyphens/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6F29E2" w:rsidRPr="0014478F" w:rsidRDefault="006F29E2" w:rsidP="006F29E2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6F29E2" w:rsidRPr="0014478F" w:rsidRDefault="006F29E2" w:rsidP="006F29E2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6F29E2" w:rsidRDefault="006F29E2" w:rsidP="006F29E2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6F29E2" w:rsidRPr="0014478F" w:rsidRDefault="006F29E2" w:rsidP="006F29E2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6F29E2" w:rsidRDefault="006F29E2" w:rsidP="006F29E2">
      <w:pPr>
        <w:jc w:val="both"/>
        <w:rPr>
          <w:szCs w:val="28"/>
        </w:rPr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>
        <w:rPr>
          <w:szCs w:val="28"/>
        </w:rPr>
        <w:t>.</w:t>
      </w:r>
    </w:p>
    <w:p w:rsidR="006F29E2" w:rsidRDefault="006F29E2" w:rsidP="006F29E2">
      <w:pPr>
        <w:jc w:val="both"/>
      </w:pPr>
    </w:p>
    <w:p w:rsidR="006F29E2" w:rsidRDefault="006F29E2" w:rsidP="006F29E2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6F29E2" w:rsidRDefault="006F29E2" w:rsidP="006F29E2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6F29E2" w:rsidRDefault="006F29E2" w:rsidP="006F29E2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1/2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6F29E2" w:rsidRDefault="006F29E2" w:rsidP="006F29E2">
      <w:pPr>
        <w:jc w:val="both"/>
        <w:rPr>
          <w:spacing w:val="-4"/>
        </w:rPr>
      </w:pPr>
      <w:r>
        <w:rPr>
          <w:spacing w:val="-4"/>
        </w:rPr>
        <w:t>Если в ходе исполнения государственного контракта, оставшиеся к поставке Изделия, составляют, менее 1/2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6F29E2" w:rsidRDefault="006F29E2" w:rsidP="006F29E2">
      <w:pPr>
        <w:tabs>
          <w:tab w:val="left" w:pos="9724"/>
        </w:tabs>
        <w:ind w:right="10"/>
        <w:jc w:val="both"/>
      </w:pPr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EE3126" w:rsidRDefault="00EE3126">
      <w:bookmarkStart w:id="0" w:name="_GoBack"/>
      <w:bookmarkEnd w:id="0"/>
    </w:p>
    <w:sectPr w:rsidR="00EE3126" w:rsidSect="006F29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0E" w:rsidRDefault="009A1C0E" w:rsidP="006F29E2">
      <w:r>
        <w:separator/>
      </w:r>
    </w:p>
  </w:endnote>
  <w:endnote w:type="continuationSeparator" w:id="0">
    <w:p w:rsidR="009A1C0E" w:rsidRDefault="009A1C0E" w:rsidP="006F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0E" w:rsidRDefault="009A1C0E" w:rsidP="006F29E2">
      <w:r>
        <w:separator/>
      </w:r>
    </w:p>
  </w:footnote>
  <w:footnote w:type="continuationSeparator" w:id="0">
    <w:p w:rsidR="009A1C0E" w:rsidRDefault="009A1C0E" w:rsidP="006F29E2">
      <w:r>
        <w:continuationSeparator/>
      </w:r>
    </w:p>
  </w:footnote>
  <w:footnote w:id="1">
    <w:p w:rsidR="006F29E2" w:rsidRPr="004D2FEC" w:rsidRDefault="006F29E2" w:rsidP="006F29E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6F29E2" w:rsidRDefault="006F29E2" w:rsidP="006F29E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04"/>
    <w:rsid w:val="00544304"/>
    <w:rsid w:val="006F29E2"/>
    <w:rsid w:val="009A1C0E"/>
    <w:rsid w:val="00E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2081-24C8-4804-B3A9-1AA9B0E0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29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footnote text"/>
    <w:basedOn w:val="a"/>
    <w:link w:val="a4"/>
    <w:semiHidden/>
    <w:rsid w:val="006F29E2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F2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F2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3</cp:revision>
  <dcterms:created xsi:type="dcterms:W3CDTF">2018-06-09T13:32:00Z</dcterms:created>
  <dcterms:modified xsi:type="dcterms:W3CDTF">2018-06-09T13:34:00Z</dcterms:modified>
</cp:coreProperties>
</file>