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3D" w:rsidRPr="00930F0D" w:rsidRDefault="003A1B3D" w:rsidP="003A1B3D">
      <w:pPr>
        <w:widowControl w:val="0"/>
        <w:jc w:val="both"/>
        <w:rPr>
          <w:b/>
        </w:rPr>
      </w:pPr>
      <w:r w:rsidRPr="00930F0D">
        <w:rPr>
          <w:b/>
        </w:rPr>
        <w:t>Описание объекта закупки (техническое задание)</w:t>
      </w:r>
    </w:p>
    <w:p w:rsidR="003A1B3D" w:rsidRDefault="003A1B3D" w:rsidP="003A1B3D">
      <w:pPr>
        <w:ind w:right="10"/>
        <w:jc w:val="both"/>
      </w:pPr>
    </w:p>
    <w:p w:rsidR="003A1B3D" w:rsidRPr="003676FE" w:rsidRDefault="003A1B3D" w:rsidP="003A1B3D">
      <w:pPr>
        <w:ind w:right="10"/>
        <w:jc w:val="both"/>
      </w:pPr>
      <w:r w:rsidRPr="003676FE">
        <w:t xml:space="preserve">Поставщик должен поставлять </w:t>
      </w:r>
      <w:r w:rsidRPr="003676FE">
        <w:rPr>
          <w:lang w:eastAsia="ar-SA"/>
        </w:rPr>
        <w:t>подгузники для взрослых</w:t>
      </w:r>
      <w:r w:rsidRPr="003676FE">
        <w:t xml:space="preserve"> (далее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государственных контрактов.</w:t>
      </w:r>
    </w:p>
    <w:p w:rsidR="003A1B3D" w:rsidRPr="003676FE" w:rsidRDefault="003A1B3D" w:rsidP="003A1B3D">
      <w:pPr>
        <w:ind w:right="10"/>
        <w:jc w:val="both"/>
      </w:pPr>
    </w:p>
    <w:p w:rsidR="003A1B3D" w:rsidRPr="003676FE" w:rsidRDefault="003A1B3D" w:rsidP="003A1B3D">
      <w:pPr>
        <w:widowControl w:val="0"/>
        <w:autoSpaceDE w:val="0"/>
        <w:jc w:val="both"/>
      </w:pPr>
      <w:r w:rsidRPr="003676FE">
        <w:rPr>
          <w:bCs/>
        </w:rPr>
        <w:t>Срок поставки:</w:t>
      </w:r>
      <w:r w:rsidRPr="003676FE">
        <w:t xml:space="preserve"> со дня, следующего за днем заключения государственного контракта, до 11.12.2018 включительно.</w:t>
      </w:r>
    </w:p>
    <w:p w:rsidR="003A1B3D" w:rsidRPr="003676FE" w:rsidRDefault="003A1B3D" w:rsidP="003A1B3D">
      <w:pPr>
        <w:jc w:val="both"/>
      </w:pPr>
    </w:p>
    <w:p w:rsidR="003A1B3D" w:rsidRPr="003676FE" w:rsidRDefault="003A1B3D" w:rsidP="003A1B3D">
      <w:pPr>
        <w:spacing w:line="240" w:lineRule="atLeast"/>
        <w:jc w:val="both"/>
      </w:pPr>
      <w:r w:rsidRPr="003676FE">
        <w:t>1. Поставляемое Изделие должно отвечать следующим требованиям:</w:t>
      </w:r>
    </w:p>
    <w:p w:rsidR="003A1B3D" w:rsidRPr="003676FE" w:rsidRDefault="003A1B3D" w:rsidP="003A1B3D">
      <w:pPr>
        <w:jc w:val="both"/>
      </w:pPr>
      <w:r w:rsidRPr="003676FE">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3A1B3D" w:rsidRPr="003676FE" w:rsidRDefault="003A1B3D" w:rsidP="003A1B3D">
      <w:pPr>
        <w:pStyle w:val="2"/>
        <w:spacing w:before="0" w:line="240" w:lineRule="atLeast"/>
        <w:jc w:val="both"/>
        <w:rPr>
          <w:rFonts w:ascii="Times New Roman" w:hAnsi="Times New Roman" w:cs="Times New Roman"/>
          <w:b w:val="0"/>
          <w:i w:val="0"/>
          <w:sz w:val="24"/>
          <w:szCs w:val="24"/>
        </w:rPr>
      </w:pPr>
      <w:r w:rsidRPr="003676FE">
        <w:rPr>
          <w:rFonts w:ascii="Times New Roman" w:hAnsi="Times New Roman" w:cs="Times New Roman"/>
          <w:b w:val="0"/>
          <w:i w:val="0"/>
          <w:sz w:val="24"/>
          <w:szCs w:val="24"/>
        </w:rPr>
        <w:t xml:space="preserve">1.2. Подгузники для взрослых должны соответствовать требованиям стандарта ГОСТ </w:t>
      </w:r>
      <w:proofErr w:type="gramStart"/>
      <w:r w:rsidRPr="003676FE">
        <w:rPr>
          <w:rFonts w:ascii="Times New Roman" w:hAnsi="Times New Roman" w:cs="Times New Roman"/>
          <w:b w:val="0"/>
          <w:i w:val="0"/>
          <w:sz w:val="24"/>
          <w:szCs w:val="24"/>
        </w:rPr>
        <w:t>Р</w:t>
      </w:r>
      <w:proofErr w:type="gramEnd"/>
      <w:r w:rsidRPr="003676FE">
        <w:rPr>
          <w:rFonts w:ascii="Times New Roman" w:hAnsi="Times New Roman" w:cs="Times New Roman"/>
          <w:b w:val="0"/>
          <w:i w:val="0"/>
          <w:sz w:val="24"/>
          <w:szCs w:val="24"/>
        </w:rPr>
        <w:t xml:space="preserve"> 55082-2012 «Изделия бумажные медицинского назначения. Подгузники для взрослых. Общие технические условия».</w:t>
      </w:r>
    </w:p>
    <w:p w:rsidR="003A1B3D" w:rsidRPr="003676FE" w:rsidRDefault="003A1B3D" w:rsidP="003A1B3D">
      <w:pPr>
        <w:jc w:val="both"/>
      </w:pPr>
      <w:r w:rsidRPr="003676FE">
        <w:t>1.3. Изделия должны быть новыми. Изделия должны быть свободными от прав третьих лиц.</w:t>
      </w:r>
    </w:p>
    <w:p w:rsidR="003A1B3D" w:rsidRDefault="003A1B3D" w:rsidP="003A1B3D">
      <w:pPr>
        <w:jc w:val="both"/>
      </w:pPr>
      <w:r w:rsidRPr="003676FE">
        <w:t xml:space="preserve">1.4. </w:t>
      </w:r>
      <w:r w:rsidRPr="003676FE">
        <w:rPr>
          <w:lang w:eastAsia="ar-SA"/>
        </w:rPr>
        <w:t>Изделие должно отвечать следующим требованиям</w:t>
      </w:r>
      <w:r w:rsidRPr="003676FE">
        <w:rPr>
          <w:rStyle w:val="a3"/>
        </w:rPr>
        <w:t xml:space="preserve"> </w:t>
      </w:r>
      <w:r w:rsidRPr="003676FE">
        <w:rPr>
          <w:rStyle w:val="a3"/>
        </w:rPr>
        <w:footnoteReference w:id="1"/>
      </w:r>
      <w:r w:rsidRPr="003676FE">
        <w:t>:</w:t>
      </w:r>
    </w:p>
    <w:p w:rsidR="003A1B3D" w:rsidRPr="003676FE" w:rsidRDefault="003A1B3D" w:rsidP="003A1B3D">
      <w:pPr>
        <w:jc w:val="both"/>
      </w:pPr>
    </w:p>
    <w:tbl>
      <w:tblPr>
        <w:tblW w:w="1000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2410"/>
        <w:gridCol w:w="1417"/>
        <w:gridCol w:w="2410"/>
        <w:gridCol w:w="2069"/>
      </w:tblGrid>
      <w:tr w:rsidR="003A1B3D" w:rsidRPr="003676FE" w:rsidTr="00AF6894">
        <w:tc>
          <w:tcPr>
            <w:tcW w:w="284" w:type="dxa"/>
            <w:tcBorders>
              <w:bottom w:val="single" w:sz="4" w:space="0" w:color="auto"/>
            </w:tcBorders>
            <w:shd w:val="clear" w:color="auto" w:fill="auto"/>
          </w:tcPr>
          <w:p w:rsidR="003A1B3D" w:rsidRPr="003676FE" w:rsidRDefault="003A1B3D" w:rsidP="00AF6894">
            <w:pPr>
              <w:pStyle w:val="a4"/>
              <w:widowControl w:val="0"/>
              <w:snapToGrid w:val="0"/>
              <w:jc w:val="both"/>
            </w:pPr>
            <w:r w:rsidRPr="003676FE">
              <w:t xml:space="preserve">№ </w:t>
            </w:r>
            <w:proofErr w:type="gramStart"/>
            <w:r w:rsidRPr="003676FE">
              <w:t>п</w:t>
            </w:r>
            <w:proofErr w:type="gramEnd"/>
            <w:r w:rsidRPr="003676FE">
              <w:t>/п</w:t>
            </w:r>
          </w:p>
          <w:p w:rsidR="003A1B3D" w:rsidRPr="003676FE" w:rsidRDefault="003A1B3D" w:rsidP="00AF6894">
            <w:pPr>
              <w:pStyle w:val="a4"/>
              <w:widowControl w:val="0"/>
              <w:snapToGrid w:val="0"/>
              <w:jc w:val="both"/>
            </w:pPr>
          </w:p>
        </w:tc>
        <w:tc>
          <w:tcPr>
            <w:tcW w:w="1417" w:type="dxa"/>
            <w:tcBorders>
              <w:bottom w:val="single" w:sz="4" w:space="0" w:color="auto"/>
            </w:tcBorders>
            <w:shd w:val="clear" w:color="auto" w:fill="auto"/>
          </w:tcPr>
          <w:p w:rsidR="003A1B3D" w:rsidRPr="003676FE" w:rsidRDefault="003A1B3D" w:rsidP="00AF6894">
            <w:pPr>
              <w:pStyle w:val="a4"/>
              <w:widowControl w:val="0"/>
              <w:snapToGrid w:val="0"/>
              <w:jc w:val="center"/>
            </w:pPr>
            <w:r w:rsidRPr="003676FE">
              <w:t>Наименование Изделия</w:t>
            </w:r>
          </w:p>
        </w:tc>
        <w:tc>
          <w:tcPr>
            <w:tcW w:w="2410" w:type="dxa"/>
            <w:shd w:val="clear" w:color="auto" w:fill="auto"/>
          </w:tcPr>
          <w:p w:rsidR="003A1B3D" w:rsidRPr="003676FE" w:rsidRDefault="003A1B3D" w:rsidP="00AF6894">
            <w:pPr>
              <w:pStyle w:val="a4"/>
              <w:widowControl w:val="0"/>
              <w:snapToGrid w:val="0"/>
              <w:jc w:val="center"/>
            </w:pPr>
            <w:r w:rsidRPr="003676FE">
              <w:t>Наименование характеристики</w:t>
            </w:r>
          </w:p>
        </w:tc>
        <w:tc>
          <w:tcPr>
            <w:tcW w:w="1417" w:type="dxa"/>
            <w:shd w:val="clear" w:color="auto" w:fill="auto"/>
          </w:tcPr>
          <w:p w:rsidR="003A1B3D" w:rsidRPr="003676FE" w:rsidRDefault="003A1B3D" w:rsidP="00AF6894">
            <w:pPr>
              <w:pStyle w:val="a4"/>
              <w:widowControl w:val="0"/>
              <w:snapToGrid w:val="0"/>
              <w:jc w:val="center"/>
            </w:pPr>
            <w:r w:rsidRPr="003676FE">
              <w:t>Показатель характеристики</w:t>
            </w:r>
          </w:p>
        </w:tc>
        <w:tc>
          <w:tcPr>
            <w:tcW w:w="2410" w:type="dxa"/>
          </w:tcPr>
          <w:p w:rsidR="003A1B3D" w:rsidRPr="003676FE" w:rsidRDefault="003A1B3D" w:rsidP="00AF6894">
            <w:pPr>
              <w:widowControl w:val="0"/>
              <w:suppressAutoHyphens/>
              <w:snapToGrid w:val="0"/>
              <w:jc w:val="center"/>
            </w:pPr>
            <w:r w:rsidRPr="003676FE">
              <w:t>ГОСТ, технический регламент/обоснование использования (в том числе его характеристика)</w:t>
            </w:r>
          </w:p>
        </w:tc>
        <w:tc>
          <w:tcPr>
            <w:tcW w:w="2069" w:type="dxa"/>
            <w:tcBorders>
              <w:bottom w:val="single" w:sz="4" w:space="0" w:color="auto"/>
            </w:tcBorders>
            <w:shd w:val="clear" w:color="auto" w:fill="auto"/>
          </w:tcPr>
          <w:p w:rsidR="003A1B3D" w:rsidRPr="003676FE" w:rsidRDefault="003A1B3D" w:rsidP="00AF6894">
            <w:pPr>
              <w:pStyle w:val="a4"/>
              <w:widowControl w:val="0"/>
              <w:snapToGrid w:val="0"/>
              <w:jc w:val="center"/>
              <w:rPr>
                <w:lang w:val="en-US"/>
              </w:rPr>
            </w:pPr>
            <w:r w:rsidRPr="003676FE">
              <w:t>Количество Изделий</w:t>
            </w:r>
          </w:p>
        </w:tc>
      </w:tr>
      <w:tr w:rsidR="003A1B3D" w:rsidRPr="003676FE" w:rsidTr="00AF6894">
        <w:trPr>
          <w:trHeight w:val="325"/>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r w:rsidRPr="003676FE">
              <w:rPr>
                <w:lang w:eastAsia="en-US"/>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r w:rsidRPr="003676FE">
              <w:rPr>
                <w:lang w:eastAsia="en-US"/>
              </w:rPr>
              <w:t>Подгузник</w:t>
            </w:r>
            <w:r w:rsidRPr="003676FE">
              <w:rPr>
                <w:bCs/>
              </w:rPr>
              <w:t xml:space="preserve"> для взрослых, размер «</w:t>
            </w:r>
            <w:r w:rsidRPr="003676FE">
              <w:rPr>
                <w:bCs/>
                <w:lang w:val="en-US"/>
              </w:rPr>
              <w:t>XS</w:t>
            </w:r>
            <w:r w:rsidRPr="003676FE">
              <w:rPr>
                <w:bCs/>
              </w:rPr>
              <w:t>» (объем талии/бедер до 60 см), с полным влагопоглощением не менее 1000 г</w:t>
            </w:r>
          </w:p>
        </w:tc>
        <w:tc>
          <w:tcPr>
            <w:tcW w:w="2410" w:type="dxa"/>
            <w:tcBorders>
              <w:left w:val="single" w:sz="4" w:space="0" w:color="auto"/>
            </w:tcBorders>
            <w:shd w:val="clear" w:color="auto" w:fill="auto"/>
          </w:tcPr>
          <w:p w:rsidR="003A1B3D" w:rsidRPr="003676FE" w:rsidRDefault="003A1B3D" w:rsidP="00AF6894">
            <w:pPr>
              <w:jc w:val="center"/>
            </w:pPr>
            <w:r w:rsidRPr="003676FE">
              <w:t xml:space="preserve">Абсорбирующий слой из волокнистых полуфабрикатов, содержащих </w:t>
            </w:r>
            <w:proofErr w:type="spellStart"/>
            <w:r w:rsidRPr="003676FE">
              <w:t>гелеобразующие</w:t>
            </w:r>
            <w:proofErr w:type="spellEnd"/>
            <w:r w:rsidRPr="003676FE">
              <w:t xml:space="preserve"> влагопоглощающие вещества (</w:t>
            </w:r>
            <w:proofErr w:type="spellStart"/>
            <w:r w:rsidRPr="003676FE">
              <w:t>суперабсорбенты</w:t>
            </w:r>
            <w:proofErr w:type="spellEnd"/>
            <w:r w:rsidRPr="003676FE">
              <w:t>)</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3.1</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r w:rsidRPr="003676FE">
              <w:t>30</w:t>
            </w:r>
            <w:r>
              <w:t xml:space="preserve"> </w:t>
            </w:r>
            <w:r w:rsidRPr="003676FE">
              <w:t>700</w:t>
            </w: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tcPr>
          <w:p w:rsidR="003A1B3D" w:rsidRPr="003676FE" w:rsidRDefault="003A1B3D" w:rsidP="00AF6894">
            <w:pPr>
              <w:snapToGrid w:val="0"/>
              <w:jc w:val="center"/>
            </w:pPr>
            <w:proofErr w:type="gramStart"/>
            <w:r w:rsidRPr="003676FE">
              <w:t>Техническое исполнение</w:t>
            </w:r>
            <w:proofErr w:type="gramEnd"/>
            <w:r w:rsidRPr="003676FE">
              <w:t xml:space="preserve"> подгузников в виде раскроя трусов с фиксирующими элементами</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5.3</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tcPr>
          <w:p w:rsidR="003A1B3D" w:rsidRPr="003676FE" w:rsidRDefault="003A1B3D" w:rsidP="00AF6894">
            <w:pPr>
              <w:jc w:val="center"/>
            </w:pPr>
            <w:r w:rsidRPr="003676FE">
              <w:t>Фиксирующие элементы многократного использования</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5.2.1</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tcPr>
          <w:p w:rsidR="003A1B3D" w:rsidRPr="003676FE" w:rsidRDefault="003A1B3D" w:rsidP="00AF6894">
            <w:pPr>
              <w:jc w:val="center"/>
            </w:pPr>
            <w:r w:rsidRPr="003676FE">
              <w:t>Барьерные элементы</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5.2.1</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tcPr>
          <w:p w:rsidR="003A1B3D" w:rsidRPr="003676FE" w:rsidRDefault="003A1B3D" w:rsidP="00AF6894">
            <w:pPr>
              <w:jc w:val="center"/>
            </w:pPr>
            <w:r w:rsidRPr="003676FE">
              <w:t xml:space="preserve">Полное влагопоглощение </w:t>
            </w:r>
            <w:r w:rsidRPr="003676FE">
              <w:lastRenderedPageBreak/>
              <w:t>каждого из Изделий, обеспечивающих возможность их использования инвалидами с обхватом талии/бедер до 60см</w:t>
            </w:r>
          </w:p>
          <w:p w:rsidR="003A1B3D" w:rsidRPr="003676FE" w:rsidRDefault="003A1B3D" w:rsidP="00AF6894">
            <w:pPr>
              <w:jc w:val="center"/>
            </w:pPr>
          </w:p>
        </w:tc>
        <w:tc>
          <w:tcPr>
            <w:tcW w:w="1417" w:type="dxa"/>
            <w:shd w:val="clear" w:color="auto" w:fill="auto"/>
          </w:tcPr>
          <w:p w:rsidR="003A1B3D" w:rsidRPr="003676FE" w:rsidRDefault="003A1B3D" w:rsidP="00AF6894">
            <w:pPr>
              <w:jc w:val="center"/>
            </w:pPr>
            <w:r w:rsidRPr="003676FE">
              <w:lastRenderedPageBreak/>
              <w:t>не менее 1000 г</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Приказ Министерства труда </w:t>
            </w:r>
            <w:r w:rsidRPr="003676FE">
              <w:lastRenderedPageBreak/>
              <w:t>и социальной защиты РФ от 13.02.2018г. №86н, индивидуальные параметры получателя</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tcPr>
          <w:p w:rsidR="003A1B3D" w:rsidRPr="003676FE" w:rsidRDefault="003A1B3D" w:rsidP="00AF6894">
            <w:pPr>
              <w:snapToGrid w:val="0"/>
              <w:spacing w:line="240" w:lineRule="atLeast"/>
              <w:jc w:val="center"/>
            </w:pPr>
            <w:r w:rsidRPr="003676FE">
              <w:rPr>
                <w:rFonts w:eastAsia="Andale Sans UI"/>
                <w:lang w:eastAsia="fa-IR" w:bidi="fa-IR"/>
              </w:rPr>
              <w:t xml:space="preserve">Обратная сорбция </w:t>
            </w:r>
            <w:r w:rsidRPr="003676FE">
              <w:t>не более 4,4 г</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5.10.2 таблица 2</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r w:rsidR="003A1B3D" w:rsidRPr="003676FE" w:rsidTr="00AF6894">
        <w:trPr>
          <w:trHeight w:val="325"/>
        </w:trPr>
        <w:tc>
          <w:tcPr>
            <w:tcW w:w="284"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rPr>
                <w:lang w:eastAsia="en-US"/>
              </w:rPr>
            </w:pPr>
          </w:p>
        </w:tc>
        <w:tc>
          <w:tcPr>
            <w:tcW w:w="2410" w:type="dxa"/>
            <w:tcBorders>
              <w:left w:val="single" w:sz="4" w:space="0" w:color="auto"/>
            </w:tcBorders>
            <w:shd w:val="clear" w:color="auto" w:fill="auto"/>
            <w:vAlign w:val="center"/>
          </w:tcPr>
          <w:p w:rsidR="003A1B3D" w:rsidRPr="003676FE" w:rsidRDefault="003A1B3D" w:rsidP="00AF6894">
            <w:pPr>
              <w:snapToGrid w:val="0"/>
              <w:jc w:val="center"/>
              <w:rPr>
                <w:rFonts w:eastAsia="Andale Sans UI"/>
                <w:lang w:eastAsia="fa-IR" w:bidi="fa-IR"/>
              </w:rPr>
            </w:pPr>
            <w:r w:rsidRPr="003676FE">
              <w:rPr>
                <w:rFonts w:eastAsia="Andale Sans UI"/>
                <w:lang w:eastAsia="fa-IR" w:bidi="fa-IR"/>
              </w:rPr>
              <w:t xml:space="preserve">Скорость впитывания </w:t>
            </w:r>
            <w:r w:rsidRPr="003676FE">
              <w:t>не менее 2,3 см³/мин</w:t>
            </w:r>
          </w:p>
        </w:tc>
        <w:tc>
          <w:tcPr>
            <w:tcW w:w="1417" w:type="dxa"/>
            <w:shd w:val="clear" w:color="auto" w:fill="auto"/>
          </w:tcPr>
          <w:p w:rsidR="003A1B3D" w:rsidRPr="003676FE" w:rsidRDefault="003A1B3D" w:rsidP="00AF6894">
            <w:pPr>
              <w:jc w:val="center"/>
            </w:pPr>
            <w:r w:rsidRPr="003676FE">
              <w:t>наличие</w:t>
            </w:r>
          </w:p>
        </w:tc>
        <w:tc>
          <w:tcPr>
            <w:tcW w:w="2410" w:type="dxa"/>
            <w:tcBorders>
              <w:right w:val="single" w:sz="4" w:space="0" w:color="auto"/>
            </w:tcBorders>
          </w:tcPr>
          <w:p w:rsidR="003A1B3D" w:rsidRPr="003676FE" w:rsidRDefault="003A1B3D" w:rsidP="00AF6894">
            <w:pPr>
              <w:pStyle w:val="a4"/>
              <w:widowControl w:val="0"/>
              <w:snapToGrid w:val="0"/>
              <w:jc w:val="center"/>
            </w:pPr>
            <w:r w:rsidRPr="003676FE">
              <w:t xml:space="preserve">ГОСТ </w:t>
            </w:r>
            <w:proofErr w:type="gramStart"/>
            <w:r w:rsidRPr="003676FE">
              <w:t>Р</w:t>
            </w:r>
            <w:proofErr w:type="gramEnd"/>
            <w:r w:rsidRPr="003676FE">
              <w:t xml:space="preserve"> 55082-2012, п. 5.10.2 таблица 2</w:t>
            </w:r>
          </w:p>
        </w:tc>
        <w:tc>
          <w:tcPr>
            <w:tcW w:w="2069" w:type="dxa"/>
            <w:vMerge/>
            <w:tcBorders>
              <w:top w:val="single" w:sz="4" w:space="0" w:color="auto"/>
              <w:left w:val="single" w:sz="4" w:space="0" w:color="auto"/>
              <w:bottom w:val="single" w:sz="4" w:space="0" w:color="auto"/>
              <w:right w:val="single" w:sz="4" w:space="0" w:color="auto"/>
            </w:tcBorders>
            <w:shd w:val="clear" w:color="auto" w:fill="auto"/>
          </w:tcPr>
          <w:p w:rsidR="003A1B3D" w:rsidRPr="003676FE" w:rsidRDefault="003A1B3D" w:rsidP="00AF6894">
            <w:pPr>
              <w:suppressAutoHyphens/>
              <w:spacing w:line="240" w:lineRule="atLeast"/>
              <w:jc w:val="center"/>
            </w:pPr>
          </w:p>
        </w:tc>
      </w:tr>
    </w:tbl>
    <w:p w:rsidR="003A1B3D" w:rsidRPr="003676FE" w:rsidRDefault="003A1B3D" w:rsidP="003A1B3D">
      <w:pPr>
        <w:jc w:val="both"/>
      </w:pPr>
    </w:p>
    <w:p w:rsidR="003A1B3D" w:rsidRPr="003676FE" w:rsidRDefault="003A1B3D" w:rsidP="003A1B3D">
      <w:pPr>
        <w:jc w:val="both"/>
      </w:pPr>
      <w:r w:rsidRPr="003676FE">
        <w:t>1.5.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w:t>
      </w:r>
      <w:proofErr w:type="gramStart"/>
      <w:r w:rsidRPr="003676FE">
        <w:t>п</w:t>
      </w:r>
      <w:proofErr w:type="gramEnd"/>
      <w:r w:rsidRPr="003676FE">
        <w:t xml:space="preserve"> 4.11.5 ГОСТ Р 51632-2014 «Технические средства реабилитации людей с ограничениями жизнедеятельности. </w:t>
      </w:r>
      <w:proofErr w:type="gramStart"/>
      <w:r w:rsidRPr="003676FE">
        <w:t>Общие технические требования и методы испытаний»).</w:t>
      </w:r>
      <w:proofErr w:type="gramEnd"/>
    </w:p>
    <w:p w:rsidR="003A1B3D" w:rsidRPr="003676FE" w:rsidRDefault="003A1B3D" w:rsidP="003A1B3D">
      <w:pPr>
        <w:jc w:val="both"/>
      </w:pPr>
    </w:p>
    <w:p w:rsidR="003A1B3D" w:rsidRPr="003676FE" w:rsidRDefault="003A1B3D" w:rsidP="003A1B3D">
      <w:pPr>
        <w:jc w:val="both"/>
        <w:rPr>
          <w:lang w:eastAsia="ar-SA"/>
        </w:rPr>
      </w:pPr>
      <w:r w:rsidRPr="003676FE">
        <w:rPr>
          <w:b/>
          <w:lang w:eastAsia="ar-SA"/>
        </w:rPr>
        <w:t>2. Поставщик обязан</w:t>
      </w:r>
      <w:r w:rsidRPr="003676FE">
        <w:rPr>
          <w:lang w:eastAsia="ar-SA"/>
        </w:rPr>
        <w:t>:</w:t>
      </w:r>
    </w:p>
    <w:p w:rsidR="003A1B3D" w:rsidRPr="003676FE" w:rsidRDefault="003A1B3D" w:rsidP="003A1B3D">
      <w:pPr>
        <w:jc w:val="both"/>
      </w:pPr>
      <w:r w:rsidRPr="003676FE">
        <w:rPr>
          <w:lang w:eastAsia="ar-SA"/>
        </w:rPr>
        <w:t xml:space="preserve">2.1. Поставить </w:t>
      </w:r>
      <w:r w:rsidRPr="003676FE">
        <w:rPr>
          <w:bCs/>
        </w:rPr>
        <w:t xml:space="preserve">подгузники </w:t>
      </w:r>
      <w:r w:rsidRPr="003676FE">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3A1B3D" w:rsidRPr="003676FE" w:rsidRDefault="003A1B3D" w:rsidP="003A1B3D">
      <w:pPr>
        <w:jc w:val="both"/>
      </w:pPr>
      <w:r w:rsidRPr="003676FE">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3A1B3D" w:rsidRPr="003676FE" w:rsidRDefault="003A1B3D" w:rsidP="003A1B3D">
      <w:pPr>
        <w:jc w:val="both"/>
      </w:pPr>
      <w:r w:rsidRPr="003676FE">
        <w:rPr>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3676FE">
        <w:t xml:space="preserve"> выдаваемого Заказчиком, подписанного уполномоченным на дату выдачи направления лицом Заказчика.</w:t>
      </w:r>
    </w:p>
    <w:p w:rsidR="003A1B3D" w:rsidRPr="003676FE" w:rsidRDefault="003A1B3D" w:rsidP="003A1B3D">
      <w:pPr>
        <w:jc w:val="both"/>
      </w:pPr>
      <w:r w:rsidRPr="003676FE">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A1B3D" w:rsidRPr="003676FE" w:rsidRDefault="003A1B3D" w:rsidP="003A1B3D">
      <w:pPr>
        <w:spacing w:line="240" w:lineRule="atLeast"/>
        <w:jc w:val="both"/>
        <w:rPr>
          <w:lang w:eastAsia="ar-SA"/>
        </w:rPr>
      </w:pPr>
      <w:r w:rsidRPr="003676FE">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3A1B3D" w:rsidRPr="003676FE" w:rsidRDefault="003A1B3D" w:rsidP="003A1B3D">
      <w:pPr>
        <w:suppressAutoHyphens/>
        <w:jc w:val="both"/>
        <w:rPr>
          <w:lang w:eastAsia="ar-SA"/>
        </w:rPr>
      </w:pPr>
      <w:r w:rsidRPr="003676FE">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3A1B3D" w:rsidRPr="003676FE" w:rsidRDefault="003A1B3D" w:rsidP="003A1B3D">
      <w:pPr>
        <w:jc w:val="both"/>
      </w:pPr>
      <w:r w:rsidRPr="003676FE">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A1B3D" w:rsidRPr="003676FE" w:rsidRDefault="003A1B3D" w:rsidP="003A1B3D">
      <w:pPr>
        <w:widowControl w:val="0"/>
        <w:jc w:val="both"/>
        <w:rPr>
          <w:bCs/>
        </w:rPr>
      </w:pPr>
      <w:r w:rsidRPr="003676FE">
        <w:t xml:space="preserve">2.3. Обеспечить возможность выдачи Изделий со дня, следующего за днем заключения </w:t>
      </w:r>
      <w:r w:rsidRPr="003676FE">
        <w:lastRenderedPageBreak/>
        <w:t xml:space="preserve">государственного контракта. </w:t>
      </w:r>
    </w:p>
    <w:p w:rsidR="003A1B3D" w:rsidRPr="003676FE" w:rsidRDefault="003A1B3D" w:rsidP="003A1B3D">
      <w:pPr>
        <w:jc w:val="both"/>
      </w:pPr>
      <w:r w:rsidRPr="003676FE">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3A1B3D" w:rsidRPr="003676FE" w:rsidRDefault="003A1B3D" w:rsidP="003A1B3D">
      <w:pPr>
        <w:jc w:val="both"/>
      </w:pPr>
      <w:proofErr w:type="gramStart"/>
      <w:r w:rsidRPr="003676FE">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roofErr w:type="gramEnd"/>
    </w:p>
    <w:p w:rsidR="003A1B3D" w:rsidRPr="003676FE" w:rsidRDefault="003A1B3D" w:rsidP="003A1B3D">
      <w:pPr>
        <w:jc w:val="both"/>
      </w:pPr>
      <w:r w:rsidRPr="003676FE">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3A1B3D" w:rsidRPr="003676FE" w:rsidRDefault="003A1B3D" w:rsidP="003A1B3D">
      <w:pPr>
        <w:jc w:val="both"/>
      </w:pPr>
      <w:r w:rsidRPr="003676FE">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3A1B3D" w:rsidRPr="003676FE" w:rsidRDefault="003A1B3D" w:rsidP="003A1B3D">
      <w:pPr>
        <w:jc w:val="both"/>
      </w:pPr>
      <w:r w:rsidRPr="003676FE">
        <w:t>Предоставлять Заказчику в рамках подтверждения исполнения государственного контракта журнал телефонных звонков.</w:t>
      </w:r>
    </w:p>
    <w:p w:rsidR="003A1B3D" w:rsidRPr="003676FE" w:rsidRDefault="003A1B3D" w:rsidP="003A1B3D">
      <w:pPr>
        <w:jc w:val="both"/>
      </w:pPr>
      <w:r w:rsidRPr="003676FE">
        <w:t xml:space="preserve">2.6. Давать справки Получателям по вопросам, связанным с поставкой Изделий, в часы работы пунктов приема. </w:t>
      </w:r>
    </w:p>
    <w:p w:rsidR="003A1B3D" w:rsidRPr="003676FE" w:rsidRDefault="003A1B3D" w:rsidP="003A1B3D">
      <w:r w:rsidRPr="003676FE">
        <w:t>2.7.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w:t>
      </w:r>
    </w:p>
    <w:p w:rsidR="003A1B3D" w:rsidRPr="003676FE" w:rsidRDefault="003A1B3D" w:rsidP="003A1B3D"/>
    <w:p w:rsidR="003A1B3D" w:rsidRPr="003676FE" w:rsidRDefault="003A1B3D" w:rsidP="003A1B3D">
      <w:pPr>
        <w:suppressAutoHyphens/>
        <w:spacing w:line="240" w:lineRule="atLeast"/>
        <w:jc w:val="both"/>
        <w:rPr>
          <w:b/>
        </w:rPr>
      </w:pPr>
      <w:r w:rsidRPr="003676FE">
        <w:rPr>
          <w:b/>
        </w:rPr>
        <w:t>3. Способ поставки:</w:t>
      </w:r>
    </w:p>
    <w:p w:rsidR="003A1B3D" w:rsidRPr="003676FE" w:rsidRDefault="003A1B3D" w:rsidP="003A1B3D">
      <w:pPr>
        <w:suppressAutoHyphens/>
        <w:spacing w:line="240" w:lineRule="atLeast"/>
        <w:jc w:val="both"/>
      </w:pPr>
      <w:r w:rsidRPr="003676FE">
        <w:t xml:space="preserve">3.1. Поставщик передает Изделия Получателям следующими способами: </w:t>
      </w:r>
    </w:p>
    <w:p w:rsidR="003A1B3D" w:rsidRPr="003676FE" w:rsidRDefault="003A1B3D" w:rsidP="003A1B3D">
      <w:pPr>
        <w:suppressAutoHyphens/>
        <w:spacing w:line="240" w:lineRule="atLeast"/>
        <w:jc w:val="both"/>
      </w:pPr>
      <w:r w:rsidRPr="003676FE">
        <w:t>- по месту нахождения пункта (пунктов) приема, организованного Поставщиком, в день обращения Получателя,</w:t>
      </w:r>
    </w:p>
    <w:p w:rsidR="003A1B3D" w:rsidRPr="003676FE" w:rsidRDefault="003A1B3D" w:rsidP="003A1B3D">
      <w:pPr>
        <w:suppressAutoHyphens/>
        <w:spacing w:line="240" w:lineRule="atLeast"/>
        <w:jc w:val="both"/>
      </w:pPr>
      <w:r w:rsidRPr="003676FE">
        <w:t xml:space="preserve">- по месту нахождения Получателя. </w:t>
      </w:r>
    </w:p>
    <w:p w:rsidR="003A1B3D" w:rsidRPr="003676FE" w:rsidRDefault="003A1B3D" w:rsidP="003A1B3D">
      <w:pPr>
        <w:suppressAutoHyphens/>
        <w:spacing w:line="240" w:lineRule="atLeast"/>
        <w:jc w:val="both"/>
      </w:pPr>
      <w:r w:rsidRPr="003676FE">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3A1B3D" w:rsidRPr="003676FE" w:rsidRDefault="003A1B3D" w:rsidP="003A1B3D">
      <w:pPr>
        <w:suppressAutoHyphens/>
        <w:spacing w:line="240" w:lineRule="atLeast"/>
        <w:jc w:val="both"/>
      </w:pPr>
      <w:r w:rsidRPr="003676FE">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3A1B3D" w:rsidRPr="003676FE" w:rsidRDefault="003A1B3D" w:rsidP="003A1B3D">
      <w:pPr>
        <w:suppressAutoHyphens/>
        <w:spacing w:line="240" w:lineRule="atLeast"/>
        <w:jc w:val="both"/>
      </w:pPr>
      <w:r w:rsidRPr="003676FE">
        <w:t>Максимальное время ожидания Получателей в очереди не должно превышать 15 минут.</w:t>
      </w:r>
    </w:p>
    <w:p w:rsidR="003A1B3D" w:rsidRPr="003676FE" w:rsidRDefault="003A1B3D" w:rsidP="003A1B3D">
      <w:pPr>
        <w:suppressAutoHyphens/>
        <w:spacing w:line="240" w:lineRule="atLeast"/>
        <w:jc w:val="both"/>
      </w:pPr>
      <w:r w:rsidRPr="003676FE">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3A1B3D" w:rsidRPr="003676FE" w:rsidRDefault="003A1B3D" w:rsidP="003A1B3D">
      <w:pPr>
        <w:spacing w:line="240" w:lineRule="atLeast"/>
        <w:jc w:val="both"/>
      </w:pPr>
      <w:r w:rsidRPr="003676FE">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3A1B3D" w:rsidRPr="003676FE" w:rsidRDefault="003A1B3D" w:rsidP="003A1B3D">
      <w:pPr>
        <w:jc w:val="both"/>
      </w:pPr>
      <w:r w:rsidRPr="003676FE">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3A1B3D" w:rsidRPr="003676FE" w:rsidRDefault="003A1B3D" w:rsidP="003A1B3D">
      <w:pPr>
        <w:jc w:val="both"/>
      </w:pPr>
      <w:r w:rsidRPr="003676FE">
        <w:lastRenderedPageBreak/>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3A1B3D" w:rsidRPr="003676FE" w:rsidRDefault="003A1B3D" w:rsidP="003A1B3D">
      <w:pPr>
        <w:spacing w:line="240" w:lineRule="atLeast"/>
        <w:jc w:val="both"/>
      </w:pPr>
      <w:r w:rsidRPr="003676FE">
        <w:t xml:space="preserve">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w:t>
      </w:r>
      <w:proofErr w:type="gramStart"/>
      <w:r w:rsidRPr="003676FE">
        <w:t>с даты обращения</w:t>
      </w:r>
      <w:proofErr w:type="gramEnd"/>
      <w:r w:rsidRPr="003676FE">
        <w:t xml:space="preserve"> Получателя.</w:t>
      </w:r>
    </w:p>
    <w:p w:rsidR="003A1B3D" w:rsidRPr="003676FE" w:rsidRDefault="003A1B3D" w:rsidP="003A1B3D">
      <w:pPr>
        <w:jc w:val="both"/>
      </w:pPr>
      <w:r w:rsidRPr="003676FE">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3A1B3D" w:rsidRPr="003676FE" w:rsidRDefault="003A1B3D" w:rsidP="003A1B3D">
      <w:pPr>
        <w:jc w:val="both"/>
      </w:pPr>
      <w:r w:rsidRPr="003676FE">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3A1B3D" w:rsidRPr="003676FE" w:rsidRDefault="003A1B3D" w:rsidP="003A1B3D">
      <w:pPr>
        <w:jc w:val="both"/>
      </w:pPr>
      <w:r w:rsidRPr="003676FE">
        <w:t>При проведении выборочной проверки Заказчик вправе осуществлять видеозапись.</w:t>
      </w:r>
    </w:p>
    <w:p w:rsidR="003A1B3D" w:rsidRPr="003676FE" w:rsidRDefault="003A1B3D" w:rsidP="003A1B3D">
      <w:pPr>
        <w:widowControl w:val="0"/>
      </w:pPr>
      <w:r w:rsidRPr="003676FE">
        <w:t>В день, следующий за днем заключения контракта, на пунктах приема должно находиться не менее чем 1/5 части от общего количества товара, предусмотренного контрактом.</w:t>
      </w:r>
    </w:p>
    <w:p w:rsidR="0027098A" w:rsidRDefault="0027098A">
      <w:bookmarkStart w:id="0" w:name="_GoBack"/>
      <w:bookmarkEnd w:id="0"/>
    </w:p>
    <w:sectPr w:rsidR="002709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3D" w:rsidRDefault="003A1B3D" w:rsidP="003A1B3D">
      <w:r>
        <w:separator/>
      </w:r>
    </w:p>
  </w:endnote>
  <w:endnote w:type="continuationSeparator" w:id="0">
    <w:p w:rsidR="003A1B3D" w:rsidRDefault="003A1B3D" w:rsidP="003A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3D" w:rsidRDefault="003A1B3D" w:rsidP="003A1B3D">
      <w:r>
        <w:separator/>
      </w:r>
    </w:p>
  </w:footnote>
  <w:footnote w:type="continuationSeparator" w:id="0">
    <w:p w:rsidR="003A1B3D" w:rsidRDefault="003A1B3D" w:rsidP="003A1B3D">
      <w:r>
        <w:continuationSeparator/>
      </w:r>
    </w:p>
  </w:footnote>
  <w:footnote w:id="1">
    <w:p w:rsidR="003A1B3D" w:rsidRPr="004D2FEC" w:rsidRDefault="003A1B3D" w:rsidP="003A1B3D">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3A1B3D" w:rsidRDefault="003A1B3D" w:rsidP="003A1B3D">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FE"/>
    <w:rsid w:val="0027098A"/>
    <w:rsid w:val="003A1B3D"/>
    <w:rsid w:val="00EC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1B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1B3D"/>
    <w:rPr>
      <w:rFonts w:ascii="Arial" w:eastAsia="Times New Roman" w:hAnsi="Arial" w:cs="Arial"/>
      <w:b/>
      <w:bCs/>
      <w:i/>
      <w:iCs/>
      <w:sz w:val="28"/>
      <w:szCs w:val="28"/>
      <w:lang w:eastAsia="ru-RU"/>
    </w:rPr>
  </w:style>
  <w:style w:type="character" w:styleId="a3">
    <w:name w:val="footnote reference"/>
    <w:semiHidden/>
    <w:rsid w:val="003A1B3D"/>
    <w:rPr>
      <w:vertAlign w:val="superscript"/>
    </w:rPr>
  </w:style>
  <w:style w:type="paragraph" w:customStyle="1" w:styleId="a4">
    <w:name w:val="Содержимое таблицы"/>
    <w:basedOn w:val="a"/>
    <w:rsid w:val="003A1B3D"/>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1B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1B3D"/>
    <w:rPr>
      <w:rFonts w:ascii="Arial" w:eastAsia="Times New Roman" w:hAnsi="Arial" w:cs="Arial"/>
      <w:b/>
      <w:bCs/>
      <w:i/>
      <w:iCs/>
      <w:sz w:val="28"/>
      <w:szCs w:val="28"/>
      <w:lang w:eastAsia="ru-RU"/>
    </w:rPr>
  </w:style>
  <w:style w:type="character" w:styleId="a3">
    <w:name w:val="footnote reference"/>
    <w:semiHidden/>
    <w:rsid w:val="003A1B3D"/>
    <w:rPr>
      <w:vertAlign w:val="superscript"/>
    </w:rPr>
  </w:style>
  <w:style w:type="paragraph" w:customStyle="1" w:styleId="a4">
    <w:name w:val="Содержимое таблицы"/>
    <w:basedOn w:val="a"/>
    <w:rsid w:val="003A1B3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Петрова</dc:creator>
  <cp:keywords/>
  <dc:description/>
  <cp:lastModifiedBy>Светлана Петрова</cp:lastModifiedBy>
  <cp:revision>2</cp:revision>
  <dcterms:created xsi:type="dcterms:W3CDTF">2018-09-25T13:16:00Z</dcterms:created>
  <dcterms:modified xsi:type="dcterms:W3CDTF">2018-09-25T13:16:00Z</dcterms:modified>
</cp:coreProperties>
</file>