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D4" w:rsidRDefault="00A01AD4" w:rsidP="00A01AD4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A01AD4" w:rsidRDefault="00A01AD4" w:rsidP="00A01AD4">
      <w:pPr>
        <w:ind w:right="10"/>
        <w:jc w:val="both"/>
      </w:pPr>
      <w:r>
        <w:t xml:space="preserve">Поставщик должен поставлять </w:t>
      </w:r>
      <w:r>
        <w:rPr>
          <w:bCs/>
        </w:rPr>
        <w:t>специальные</w:t>
      </w:r>
      <w:r w:rsidRPr="000B1D6E">
        <w:rPr>
          <w:bCs/>
        </w:rPr>
        <w:t xml:space="preserve"> средств</w:t>
      </w:r>
      <w:r>
        <w:rPr>
          <w:bCs/>
        </w:rPr>
        <w:t>а</w:t>
      </w:r>
      <w:r w:rsidRPr="000B1D6E">
        <w:rPr>
          <w:bCs/>
        </w:rPr>
        <w:t xml:space="preserve"> при нарушениях </w:t>
      </w:r>
      <w:r>
        <w:rPr>
          <w:bCs/>
        </w:rPr>
        <w:t>функций выделения</w:t>
      </w:r>
      <w:r w:rsidRPr="005174E3">
        <w:t xml:space="preserve"> </w:t>
      </w:r>
      <w:r>
        <w:t>(калоприемники)</w:t>
      </w:r>
      <w:r w:rsidRPr="005174E3">
        <w:t xml:space="preserve">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01AD4" w:rsidRDefault="00A01AD4" w:rsidP="00A01AD4">
      <w:pPr>
        <w:autoSpaceDE w:val="0"/>
        <w:autoSpaceDN w:val="0"/>
        <w:adjustRightInd w:val="0"/>
        <w:jc w:val="both"/>
      </w:pPr>
    </w:p>
    <w:p w:rsidR="00A01AD4" w:rsidRPr="00F4518A" w:rsidRDefault="00A01AD4" w:rsidP="00A01AD4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A01AD4" w:rsidRPr="00B92230" w:rsidRDefault="00A01AD4" w:rsidP="00A01AD4">
      <w:pPr>
        <w:jc w:val="both"/>
      </w:pPr>
    </w:p>
    <w:p w:rsidR="00A01AD4" w:rsidRPr="00EC48D5" w:rsidRDefault="00A01AD4" w:rsidP="00A01AD4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A01AD4" w:rsidRDefault="00A01AD4" w:rsidP="00A01AD4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A01AD4" w:rsidRDefault="00A01AD4" w:rsidP="00A01AD4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A01AD4" w:rsidRDefault="00A01AD4" w:rsidP="00A01AD4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A01AD4" w:rsidRDefault="00A01AD4" w:rsidP="00A01AD4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39"/>
        <w:gridCol w:w="1843"/>
        <w:gridCol w:w="2239"/>
        <w:gridCol w:w="992"/>
      </w:tblGrid>
      <w:tr w:rsidR="00A01AD4" w:rsidRPr="006C5BDD" w:rsidTr="00A01AD4">
        <w:trPr>
          <w:trHeight w:val="349"/>
        </w:trPr>
        <w:tc>
          <w:tcPr>
            <w:tcW w:w="1872" w:type="dxa"/>
            <w:shd w:val="clear" w:color="auto" w:fill="auto"/>
          </w:tcPr>
          <w:p w:rsidR="00A01AD4" w:rsidRPr="00B954D9" w:rsidRDefault="00A01AD4" w:rsidP="0013358C">
            <w:pPr>
              <w:ind w:left="50" w:hanging="50"/>
              <w:jc w:val="center"/>
            </w:pPr>
            <w:r w:rsidRPr="00B954D9">
              <w:t>Наименование Изделия</w:t>
            </w:r>
          </w:p>
        </w:tc>
        <w:tc>
          <w:tcPr>
            <w:tcW w:w="2439" w:type="dxa"/>
            <w:shd w:val="clear" w:color="auto" w:fill="auto"/>
          </w:tcPr>
          <w:p w:rsidR="00A01AD4" w:rsidRPr="00B954D9" w:rsidRDefault="00A01AD4" w:rsidP="0013358C">
            <w:pPr>
              <w:jc w:val="center"/>
            </w:pPr>
            <w:r w:rsidRPr="00B954D9">
              <w:t>Наименование характе</w:t>
            </w:r>
            <w:bookmarkStart w:id="0" w:name="_GoBack"/>
            <w:bookmarkEnd w:id="0"/>
            <w:r w:rsidRPr="00B954D9">
              <w:t>ристики</w:t>
            </w:r>
          </w:p>
        </w:tc>
        <w:tc>
          <w:tcPr>
            <w:tcW w:w="1843" w:type="dxa"/>
            <w:shd w:val="clear" w:color="auto" w:fill="auto"/>
          </w:tcPr>
          <w:p w:rsidR="00A01AD4" w:rsidRPr="00B954D9" w:rsidRDefault="00A01AD4" w:rsidP="0013358C">
            <w:pPr>
              <w:jc w:val="center"/>
            </w:pPr>
            <w:r w:rsidRPr="00B954D9">
              <w:t>Показатель характеристики</w:t>
            </w:r>
          </w:p>
        </w:tc>
        <w:tc>
          <w:tcPr>
            <w:tcW w:w="2239" w:type="dxa"/>
          </w:tcPr>
          <w:p w:rsidR="00A01AD4" w:rsidRPr="00B954D9" w:rsidRDefault="00A01AD4" w:rsidP="0013358C">
            <w:pPr>
              <w:widowControl w:val="0"/>
              <w:suppressAutoHyphens/>
              <w:snapToGrid w:val="0"/>
              <w:jc w:val="center"/>
            </w:pPr>
            <w:r w:rsidRPr="00B954D9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AD4" w:rsidRPr="00B954D9" w:rsidRDefault="00A01AD4" w:rsidP="0013358C">
            <w:pPr>
              <w:jc w:val="center"/>
            </w:pPr>
            <w:r w:rsidRPr="00B954D9">
              <w:t>Количество (шт.)</w:t>
            </w: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pStyle w:val="a6"/>
              <w:suppressAutoHyphens/>
              <w:ind w:left="0"/>
            </w:pPr>
            <w:r w:rsidRPr="00FC0213">
              <w:t xml:space="preserve">1. Однокомпонентный дренируемый калоприёмник со встроенной плоской пластиной  </w:t>
            </w: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Дренируемый </w:t>
            </w:r>
            <w:proofErr w:type="spellStart"/>
            <w:r w:rsidRPr="00FC0213">
              <w:t>илеостомный</w:t>
            </w:r>
            <w:proofErr w:type="spellEnd"/>
            <w:r w:rsidRPr="00FC0213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>
              <w:t>70000</w:t>
            </w: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A01AD4" w:rsidRPr="00FC0213" w:rsidRDefault="00A01AD4" w:rsidP="0013358C">
            <w:pPr>
              <w:suppressAutoHyphens/>
              <w:jc w:val="center"/>
            </w:pPr>
            <w:r w:rsidRPr="00FC0213">
              <w:t xml:space="preserve">Для улучшения качества жизни получателя, мешок должен не протекать и не пропускать запах. 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 xml:space="preserve">Покрытие защищает кожу от раздражения, вызванного потом </w:t>
            </w:r>
            <w:r w:rsidRPr="00FC0213">
              <w:lastRenderedPageBreak/>
              <w:t>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A01AD4" w:rsidRPr="00FC0213" w:rsidRDefault="00A01AD4" w:rsidP="0013358C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985ED6" w:rsidRDefault="00A01AD4" w:rsidP="0013358C">
            <w:pPr>
              <w:suppressAutoHyphens/>
              <w:jc w:val="center"/>
              <w:rPr>
                <w:lang w:eastAsia="ar-SA"/>
              </w:rPr>
            </w:pPr>
            <w:r w:rsidRPr="00985ED6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A01AD4" w:rsidRPr="00985ED6" w:rsidRDefault="00A01AD4" w:rsidP="0013358C">
            <w:pPr>
              <w:suppressAutoHyphens/>
              <w:jc w:val="center"/>
            </w:pPr>
            <w:r w:rsidRPr="00985ED6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Основа адгезивной пластины: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6C5BDD" w:rsidRDefault="00A01AD4" w:rsidP="0013358C">
            <w:pPr>
              <w:widowControl w:val="0"/>
              <w:suppressAutoHyphens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985ED6" w:rsidRDefault="00A01AD4" w:rsidP="0013358C">
            <w:r w:rsidRPr="00985ED6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A01AD4" w:rsidRPr="00985ED6" w:rsidRDefault="00A01AD4" w:rsidP="0013358C">
            <w:pPr>
              <w:jc w:val="center"/>
            </w:pPr>
            <w:r w:rsidRPr="00985ED6">
              <w:t>наличие</w:t>
            </w:r>
          </w:p>
        </w:tc>
        <w:tc>
          <w:tcPr>
            <w:tcW w:w="2239" w:type="dxa"/>
          </w:tcPr>
          <w:p w:rsidR="00A01AD4" w:rsidRPr="00985ED6" w:rsidRDefault="00A01AD4" w:rsidP="0013358C">
            <w:pPr>
              <w:suppressAutoHyphens/>
              <w:jc w:val="center"/>
            </w:pPr>
            <w:r w:rsidRPr="00985ED6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>Максимальный размер вырезаемого отверстия адгезивной пластины не менее 65х75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 xml:space="preserve">(размер </w:t>
            </w:r>
            <w:proofErr w:type="spellStart"/>
            <w:r w:rsidRPr="00FC0213">
              <w:t>стомы</w:t>
            </w:r>
            <w:proofErr w:type="spellEnd"/>
            <w:r w:rsidRPr="00FC0213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 w:val="restart"/>
            <w:shd w:val="clear" w:color="auto" w:fill="auto"/>
          </w:tcPr>
          <w:p w:rsidR="00A01AD4" w:rsidRPr="00FC0213" w:rsidRDefault="00A01AD4" w:rsidP="0013358C">
            <w:r w:rsidRPr="00FC0213">
              <w:t xml:space="preserve">2. Однокомпонентный дренируемый калоприёмник со встроенной </w:t>
            </w:r>
            <w:proofErr w:type="spellStart"/>
            <w:r w:rsidRPr="00FC0213">
              <w:t>конвексной</w:t>
            </w:r>
            <w:proofErr w:type="spellEnd"/>
            <w:r w:rsidRPr="00FC0213">
              <w:t xml:space="preserve"> пластиной </w:t>
            </w:r>
          </w:p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Дренируемый </w:t>
            </w:r>
            <w:proofErr w:type="spellStart"/>
            <w:r w:rsidRPr="00FC0213">
              <w:t>илеостомный</w:t>
            </w:r>
            <w:proofErr w:type="spellEnd"/>
            <w:r w:rsidRPr="00FC0213">
              <w:t xml:space="preserve">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 xml:space="preserve">наличие 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>
              <w:t>7500</w:t>
            </w: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/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A01AD4" w:rsidRPr="00FC0213" w:rsidRDefault="00A01AD4" w:rsidP="0013358C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A01AD4" w:rsidRPr="00FC0213" w:rsidRDefault="00A01AD4" w:rsidP="0013358C">
            <w:pPr>
              <w:jc w:val="center"/>
            </w:pPr>
            <w:r w:rsidRPr="00FC0213"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A01AD4" w:rsidRPr="00FC0213" w:rsidRDefault="00A01AD4" w:rsidP="0013358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</w:t>
            </w:r>
            <w:proofErr w:type="spellStart"/>
            <w:r w:rsidRPr="00FC0213">
              <w:lastRenderedPageBreak/>
              <w:t>конвексная</w:t>
            </w:r>
            <w:proofErr w:type="spellEnd"/>
            <w:r w:rsidRPr="00FC0213">
              <w:t xml:space="preserve">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lastRenderedPageBreak/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</w:t>
            </w:r>
            <w:r w:rsidRPr="00FC0213">
              <w:rPr>
                <w:lang w:eastAsia="ar-SA"/>
              </w:rPr>
              <w:lastRenderedPageBreak/>
              <w:t xml:space="preserve">труда и социальной защиты РФ от 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Основа </w:t>
            </w:r>
            <w:proofErr w:type="spellStart"/>
            <w:r w:rsidRPr="00FC0213">
              <w:t>конвексной</w:t>
            </w:r>
            <w:proofErr w:type="spellEnd"/>
            <w:r w:rsidRPr="00FC0213">
              <w:t xml:space="preserve"> адгезивной пластины: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A01AD4" w:rsidRPr="00FC0213" w:rsidRDefault="00A01AD4" w:rsidP="0013358C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Шаблон для вырезания отверстия под </w:t>
            </w:r>
            <w:proofErr w:type="spellStart"/>
            <w:r w:rsidRPr="00FC0213">
              <w:t>стому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не менее 43 мм (включительно)</w:t>
            </w:r>
          </w:p>
        </w:tc>
        <w:tc>
          <w:tcPr>
            <w:tcW w:w="2239" w:type="dxa"/>
          </w:tcPr>
          <w:p w:rsidR="00A01AD4" w:rsidRPr="00732BE0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32BE0">
              <w:rPr>
                <w:lang w:eastAsia="ar-SA"/>
              </w:rPr>
              <w:t>Индивидуальные потребности получателя</w:t>
            </w:r>
          </w:p>
          <w:p w:rsidR="00A01AD4" w:rsidRPr="00732BE0" w:rsidRDefault="00A01AD4" w:rsidP="0013358C">
            <w:pPr>
              <w:suppressAutoHyphens/>
              <w:jc w:val="center"/>
            </w:pPr>
            <w:r w:rsidRPr="00732BE0">
              <w:t xml:space="preserve">(размер </w:t>
            </w:r>
            <w:proofErr w:type="spellStart"/>
            <w:r w:rsidRPr="00732BE0">
              <w:t>стомы</w:t>
            </w:r>
            <w:proofErr w:type="spellEnd"/>
            <w:r w:rsidRPr="00732BE0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  <w:r w:rsidRPr="00FC0213">
              <w:rPr>
                <w:bCs/>
              </w:rPr>
              <w:t xml:space="preserve">3. </w:t>
            </w:r>
            <w:r w:rsidRPr="00FC0213">
              <w:t xml:space="preserve">Однокомпонентный дренируемый калоприёмник со встроенной плоской пластиной </w:t>
            </w: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Дренируемый </w:t>
            </w:r>
            <w:proofErr w:type="spellStart"/>
            <w:r w:rsidRPr="00FC0213">
              <w:t>илеостомный</w:t>
            </w:r>
            <w:proofErr w:type="spellEnd"/>
            <w:r w:rsidRPr="00FC0213">
              <w:t xml:space="preserve">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>
              <w:t>12000</w:t>
            </w: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A01AD4" w:rsidRPr="00FC0213" w:rsidRDefault="00A01AD4" w:rsidP="0013358C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A01AD4" w:rsidRPr="00FC0213" w:rsidRDefault="00A01AD4" w:rsidP="0013358C">
            <w:pPr>
              <w:jc w:val="center"/>
            </w:pPr>
            <w:r w:rsidRPr="00FC0213">
              <w:t xml:space="preserve">Покрытие защищает кожу от раздражения, вызванного потом </w:t>
            </w:r>
            <w:r w:rsidRPr="00FC0213">
              <w:lastRenderedPageBreak/>
              <w:t>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A01AD4" w:rsidRPr="00FC0213" w:rsidRDefault="00A01AD4" w:rsidP="0013358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Встроенная скрытая застежка на дренажном конце мешка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Основа адгезивной пластины: двухслойная,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A01AD4" w:rsidRPr="00FC0213" w:rsidRDefault="00A01AD4" w:rsidP="0013358C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Шаблон для вырезания отверстия под </w:t>
            </w:r>
            <w:proofErr w:type="spellStart"/>
            <w:r w:rsidRPr="00FC0213">
              <w:t>стому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Максимальный диаметр вырезаемого отверстия адгезивной пластины 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не менее 76 мм (включительно)</w:t>
            </w:r>
          </w:p>
        </w:tc>
        <w:tc>
          <w:tcPr>
            <w:tcW w:w="2239" w:type="dxa"/>
          </w:tcPr>
          <w:p w:rsidR="00A01AD4" w:rsidRPr="00732BE0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32BE0">
              <w:rPr>
                <w:lang w:eastAsia="ar-SA"/>
              </w:rPr>
              <w:t>Индивидуальные потребности получателя</w:t>
            </w:r>
          </w:p>
          <w:p w:rsidR="00A01AD4" w:rsidRPr="00732BE0" w:rsidRDefault="00A01AD4" w:rsidP="0013358C">
            <w:pPr>
              <w:suppressAutoHyphens/>
              <w:jc w:val="center"/>
            </w:pPr>
            <w:r w:rsidRPr="00732BE0">
              <w:t xml:space="preserve">(размер </w:t>
            </w:r>
            <w:proofErr w:type="spellStart"/>
            <w:r w:rsidRPr="00732BE0">
              <w:t>стомы</w:t>
            </w:r>
            <w:proofErr w:type="spellEnd"/>
            <w:r w:rsidRPr="00732BE0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</w:pPr>
            <w:r w:rsidRPr="00FC0213">
              <w:rPr>
                <w:lang w:val="ru-RU"/>
              </w:rPr>
              <w:t>4</w:t>
            </w:r>
            <w:r w:rsidRPr="00FC0213">
              <w:t>.</w:t>
            </w:r>
            <w:r w:rsidRPr="00FC0213">
              <w:rPr>
                <w:lang w:val="ru-RU"/>
              </w:rPr>
              <w:t xml:space="preserve"> </w:t>
            </w:r>
            <w:proofErr w:type="spellStart"/>
            <w:r w:rsidRPr="00FC0213">
              <w:t>Однокомпонентный</w:t>
            </w:r>
            <w:proofErr w:type="spellEnd"/>
          </w:p>
          <w:p w:rsidR="00A01AD4" w:rsidRPr="00FC0213" w:rsidRDefault="00A01AD4" w:rsidP="0013358C">
            <w:pPr>
              <w:suppressAutoHyphens/>
            </w:pPr>
            <w:proofErr w:type="spellStart"/>
            <w:r w:rsidRPr="00FC0213">
              <w:t>недренируемый</w:t>
            </w:r>
            <w:proofErr w:type="spellEnd"/>
            <w:r w:rsidRPr="00FC0213">
              <w:t xml:space="preserve"> калоприёмник со встроенной плоской пластиной</w:t>
            </w:r>
          </w:p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proofErr w:type="spellStart"/>
            <w:r w:rsidRPr="00FC0213">
              <w:t>Недренируемый</w:t>
            </w:r>
            <w:proofErr w:type="spellEnd"/>
            <w:r w:rsidRPr="00FC0213">
              <w:t xml:space="preserve"> </w:t>
            </w:r>
            <w:proofErr w:type="spellStart"/>
            <w:r w:rsidRPr="00FC0213">
              <w:t>колостомный</w:t>
            </w:r>
            <w:proofErr w:type="spellEnd"/>
            <w:r w:rsidRPr="00FC0213">
              <w:t xml:space="preserve"> мешок анатомической формы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15000</w:t>
            </w: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A01AD4" w:rsidRPr="00FC0213" w:rsidRDefault="00A01AD4" w:rsidP="0013358C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A01AD4" w:rsidRPr="00FC0213" w:rsidRDefault="00A01AD4" w:rsidP="0013358C">
            <w:pPr>
              <w:jc w:val="center"/>
            </w:pPr>
            <w:r w:rsidRPr="00FC0213">
              <w:lastRenderedPageBreak/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napToGrid w:val="0"/>
              <w:spacing w:line="240" w:lineRule="atLeast"/>
              <w:rPr>
                <w:lang w:eastAsia="ar-SA"/>
              </w:rPr>
            </w:pPr>
            <w:r w:rsidRPr="00FC0213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 xml:space="preserve">Основа адгезивной пластины: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 xml:space="preserve">Два </w:t>
            </w:r>
            <w:proofErr w:type="spellStart"/>
            <w:r w:rsidRPr="00FC0213">
              <w:t>адгезива</w:t>
            </w:r>
            <w:proofErr w:type="spellEnd"/>
            <w:r w:rsidRPr="00FC0213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t>Защита кожи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>Максимальный размер вырезаемого</w:t>
            </w:r>
            <w:r>
              <w:t xml:space="preserve"> отверстия адгезивной пластины </w:t>
            </w:r>
            <w:r w:rsidRPr="00FC0213">
              <w:t>не менее 65х75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 xml:space="preserve">(размер </w:t>
            </w:r>
            <w:proofErr w:type="spellStart"/>
            <w:r w:rsidRPr="00FC0213">
              <w:t>стомы</w:t>
            </w:r>
            <w:proofErr w:type="spellEnd"/>
            <w:r w:rsidRPr="00FC0213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pStyle w:val="Standard"/>
              <w:spacing w:line="240" w:lineRule="atLeast"/>
            </w:pPr>
            <w:r w:rsidRPr="00FC0213">
              <w:t xml:space="preserve">5. </w:t>
            </w:r>
            <w:proofErr w:type="spellStart"/>
            <w:r w:rsidRPr="00FC0213">
              <w:t>Однокомпонентный</w:t>
            </w:r>
            <w:proofErr w:type="spellEnd"/>
          </w:p>
          <w:p w:rsidR="00A01AD4" w:rsidRPr="00FC0213" w:rsidRDefault="00A01AD4" w:rsidP="0013358C">
            <w:pPr>
              <w:suppressAutoHyphens/>
            </w:pPr>
            <w:proofErr w:type="spellStart"/>
            <w:r w:rsidRPr="00FC0213">
              <w:t>недренируемый</w:t>
            </w:r>
            <w:proofErr w:type="spellEnd"/>
            <w:r w:rsidRPr="00FC0213">
              <w:t xml:space="preserve"> калоприёмник со встроенной плоской пластиной</w:t>
            </w:r>
          </w:p>
          <w:p w:rsidR="00A01AD4" w:rsidRPr="00FC0213" w:rsidRDefault="00A01AD4" w:rsidP="0013358C">
            <w:pPr>
              <w:suppressAutoHyphens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proofErr w:type="spellStart"/>
            <w:r w:rsidRPr="00FC0213">
              <w:t>Недренируемый</w:t>
            </w:r>
            <w:proofErr w:type="spellEnd"/>
            <w:r w:rsidRPr="00FC0213">
              <w:t xml:space="preserve"> </w:t>
            </w:r>
            <w:proofErr w:type="spellStart"/>
            <w:r w:rsidRPr="00FC0213">
              <w:t>колостомный</w:t>
            </w:r>
            <w:proofErr w:type="spellEnd"/>
            <w:r w:rsidRPr="00FC0213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A01AD4" w:rsidRPr="00FC0213" w:rsidRDefault="00A01AD4" w:rsidP="0013358C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FC0213">
              <w:rPr>
                <w:lang w:eastAsia="ar-SA"/>
              </w:rPr>
              <w:t xml:space="preserve">Форма мешка </w:t>
            </w:r>
            <w:r w:rsidRPr="00FC0213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 w:rsidRPr="00FC0213">
              <w:t>1200</w:t>
            </w: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r w:rsidRPr="00FC0213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 w:val="restart"/>
          </w:tcPr>
          <w:p w:rsidR="00A01AD4" w:rsidRPr="00FC0213" w:rsidRDefault="00A01AD4" w:rsidP="0013358C">
            <w:pPr>
              <w:jc w:val="center"/>
            </w:pPr>
            <w:r w:rsidRPr="00FC0213">
              <w:t>Для улучшения качества жизни получателя, мешок должен не протекать и не пропускать запах</w:t>
            </w:r>
          </w:p>
          <w:p w:rsidR="00A01AD4" w:rsidRPr="00FC0213" w:rsidRDefault="00A01AD4" w:rsidP="0013358C">
            <w:pPr>
              <w:jc w:val="center"/>
            </w:pPr>
            <w:r w:rsidRPr="00FC0213">
              <w:lastRenderedPageBreak/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napToGrid w:val="0"/>
              <w:spacing w:line="240" w:lineRule="atLeast"/>
              <w:rPr>
                <w:lang w:eastAsia="ar-SA"/>
              </w:rPr>
            </w:pPr>
            <w:r w:rsidRPr="00FC0213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  <w:vMerge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 xml:space="preserve">Встроенная в </w:t>
            </w:r>
            <w:proofErr w:type="spellStart"/>
            <w:r w:rsidRPr="00FC0213">
              <w:t>стомный</w:t>
            </w:r>
            <w:proofErr w:type="spellEnd"/>
            <w:r w:rsidRPr="00FC0213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 xml:space="preserve">Приказ Министерства труда и социальной защиты РФ от 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 xml:space="preserve">Основа адгезивной пластины: двухслойная, </w:t>
            </w:r>
            <w:proofErr w:type="spellStart"/>
            <w:r w:rsidRPr="00FC0213">
              <w:t>гипоаллергенная</w:t>
            </w:r>
            <w:proofErr w:type="spellEnd"/>
            <w:r w:rsidRPr="00FC0213">
              <w:t>, гидроколлоидная.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</w:pPr>
            <w:r w:rsidRPr="00FC0213">
              <w:t>ГОСТ ISO 10993-10-2011</w:t>
            </w:r>
          </w:p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suppressAutoHyphens/>
              <w:jc w:val="center"/>
            </w:pPr>
            <w:r w:rsidRPr="00FC0213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>(</w:t>
            </w:r>
            <w:proofErr w:type="spellStart"/>
            <w:r w:rsidRPr="00FC0213">
              <w:t>стомы</w:t>
            </w:r>
            <w:proofErr w:type="spellEnd"/>
            <w:r w:rsidRPr="00FC0213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1872" w:type="dxa"/>
            <w:vMerge/>
            <w:shd w:val="clear" w:color="auto" w:fill="auto"/>
          </w:tcPr>
          <w:p w:rsidR="00A01AD4" w:rsidRPr="00FC0213" w:rsidRDefault="00A01AD4" w:rsidP="0013358C">
            <w:pPr>
              <w:suppressAutoHyphens/>
              <w:spacing w:line="240" w:lineRule="atLeast"/>
            </w:pPr>
          </w:p>
        </w:tc>
        <w:tc>
          <w:tcPr>
            <w:tcW w:w="2439" w:type="dxa"/>
            <w:shd w:val="clear" w:color="auto" w:fill="auto"/>
          </w:tcPr>
          <w:p w:rsidR="00A01AD4" w:rsidRPr="00FC0213" w:rsidRDefault="00A01AD4" w:rsidP="0013358C">
            <w:pPr>
              <w:spacing w:line="240" w:lineRule="atLeast"/>
            </w:pPr>
            <w:r w:rsidRPr="00FC0213">
              <w:t>Максимальный размер вырезаемого</w:t>
            </w:r>
            <w:r>
              <w:t xml:space="preserve"> отверстия адгезивной пластины </w:t>
            </w:r>
            <w:r w:rsidRPr="00FC0213">
              <w:t>не менее 10х76 мм (включительно)</w:t>
            </w:r>
          </w:p>
        </w:tc>
        <w:tc>
          <w:tcPr>
            <w:tcW w:w="1843" w:type="dxa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center"/>
            </w:pPr>
            <w:r w:rsidRPr="00FC0213">
              <w:t>наличие</w:t>
            </w:r>
          </w:p>
        </w:tc>
        <w:tc>
          <w:tcPr>
            <w:tcW w:w="2239" w:type="dxa"/>
          </w:tcPr>
          <w:p w:rsidR="00A01AD4" w:rsidRPr="00FC0213" w:rsidRDefault="00A01AD4" w:rsidP="0013358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C0213">
              <w:rPr>
                <w:lang w:eastAsia="ar-SA"/>
              </w:rPr>
              <w:t>Индивидуальные потребности получателя</w:t>
            </w:r>
          </w:p>
          <w:p w:rsidR="00A01AD4" w:rsidRPr="00FC0213" w:rsidRDefault="00A01AD4" w:rsidP="0013358C">
            <w:pPr>
              <w:suppressAutoHyphens/>
              <w:jc w:val="center"/>
            </w:pPr>
            <w:r w:rsidRPr="00FC0213">
              <w:t xml:space="preserve">(размер </w:t>
            </w:r>
            <w:proofErr w:type="spellStart"/>
            <w:r w:rsidRPr="00FC0213">
              <w:t>стомы</w:t>
            </w:r>
            <w:proofErr w:type="spellEnd"/>
            <w:r w:rsidRPr="00FC0213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A01AD4" w:rsidRPr="00FC0213" w:rsidRDefault="00A01AD4" w:rsidP="0013358C">
            <w:pPr>
              <w:jc w:val="center"/>
            </w:pPr>
          </w:p>
        </w:tc>
      </w:tr>
      <w:tr w:rsidR="00A01AD4" w:rsidRPr="00FC0213" w:rsidTr="00A01AD4">
        <w:trPr>
          <w:trHeight w:val="349"/>
        </w:trPr>
        <w:tc>
          <w:tcPr>
            <w:tcW w:w="8393" w:type="dxa"/>
            <w:gridSpan w:val="4"/>
            <w:shd w:val="clear" w:color="auto" w:fill="auto"/>
          </w:tcPr>
          <w:p w:rsidR="00A01AD4" w:rsidRPr="00FC0213" w:rsidRDefault="00A01AD4" w:rsidP="0013358C">
            <w:pPr>
              <w:widowControl w:val="0"/>
              <w:suppressAutoHyphens/>
              <w:snapToGrid w:val="0"/>
              <w:jc w:val="right"/>
            </w:pPr>
            <w:r w:rsidRPr="00FC0213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1AD4" w:rsidRPr="00FC0213" w:rsidRDefault="00A01AD4" w:rsidP="0013358C">
            <w:pPr>
              <w:jc w:val="center"/>
            </w:pPr>
            <w:r>
              <w:t>105700</w:t>
            </w:r>
          </w:p>
        </w:tc>
      </w:tr>
    </w:tbl>
    <w:p w:rsidR="00A01AD4" w:rsidRDefault="00A01AD4" w:rsidP="00A01AD4">
      <w:pPr>
        <w:jc w:val="both"/>
      </w:pPr>
    </w:p>
    <w:p w:rsidR="00A01AD4" w:rsidRDefault="00A01AD4" w:rsidP="00A01AD4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A01AD4" w:rsidRDefault="00A01AD4" w:rsidP="00A01AD4">
      <w:pPr>
        <w:jc w:val="both"/>
      </w:pPr>
    </w:p>
    <w:p w:rsidR="00A01AD4" w:rsidRPr="00612097" w:rsidRDefault="00A01AD4" w:rsidP="00A01AD4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A01AD4" w:rsidRDefault="00A01AD4" w:rsidP="00A01AD4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A01AD4" w:rsidRDefault="00A01AD4" w:rsidP="00A01AD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A01AD4" w:rsidRDefault="00A01AD4" w:rsidP="00A01AD4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</w:t>
      </w:r>
      <w:r>
        <w:rPr>
          <w:lang w:eastAsia="ar-SA"/>
        </w:rPr>
        <w:lastRenderedPageBreak/>
        <w:t>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A01AD4" w:rsidRDefault="00A01AD4" w:rsidP="00A01AD4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01AD4" w:rsidRDefault="00A01AD4" w:rsidP="00A01AD4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A01AD4" w:rsidRDefault="00A01AD4" w:rsidP="00A01AD4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A01AD4" w:rsidRDefault="00A01AD4" w:rsidP="00A01AD4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01AD4" w:rsidRDefault="00A01AD4" w:rsidP="00A01AD4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A01AD4" w:rsidRDefault="00A01AD4" w:rsidP="00A01AD4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A01AD4" w:rsidRDefault="00A01AD4" w:rsidP="00A01AD4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A01AD4" w:rsidRDefault="00A01AD4" w:rsidP="00A01AD4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A01AD4" w:rsidRPr="0014478F" w:rsidRDefault="00A01AD4" w:rsidP="00A01AD4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A01AD4" w:rsidRDefault="00A01AD4" w:rsidP="00A01AD4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A01AD4" w:rsidRDefault="00A01AD4" w:rsidP="00A01AD4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 подобранных врачом - </w:t>
      </w:r>
      <w:proofErr w:type="spellStart"/>
      <w:r>
        <w:rPr>
          <w:rFonts w:ascii="Times New Roman CYR" w:hAnsi="Times New Roman CYR" w:cs="Times New Roman CYR"/>
        </w:rPr>
        <w:t>колопроктологом</w:t>
      </w:r>
      <w:proofErr w:type="spellEnd"/>
      <w:r>
        <w:rPr>
          <w:rFonts w:ascii="Times New Roman CYR" w:hAnsi="Times New Roman CYR" w:cs="Times New Roman CYR"/>
        </w:rPr>
        <w:t xml:space="preserve"> или врачом-онкологом по размерам Получателей, в зависимости от вида имеющейся патологии, функциональных нарушений и особенностей течения заболевания, вида, формы и размера </w:t>
      </w:r>
      <w:proofErr w:type="spellStart"/>
      <w:r>
        <w:rPr>
          <w:rFonts w:ascii="Times New Roman CYR" w:hAnsi="Times New Roman CYR" w:cs="Times New Roman CYR"/>
        </w:rPr>
        <w:t>стомы</w:t>
      </w:r>
      <w:proofErr w:type="spellEnd"/>
      <w:r>
        <w:rPr>
          <w:rFonts w:ascii="Times New Roman CYR" w:hAnsi="Times New Roman CYR" w:cs="Times New Roman CYR"/>
        </w:rPr>
        <w:t xml:space="preserve">, состояния кожи вокруг неё. </w:t>
      </w:r>
    </w:p>
    <w:p w:rsidR="00A01AD4" w:rsidRDefault="00A01AD4" w:rsidP="00A01AD4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A01AD4" w:rsidRDefault="00A01AD4" w:rsidP="00A01AD4"/>
    <w:p w:rsidR="00A01AD4" w:rsidRPr="00612097" w:rsidRDefault="00A01AD4" w:rsidP="00A01AD4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A01AD4" w:rsidRDefault="00A01AD4" w:rsidP="00A01AD4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A01AD4" w:rsidRDefault="00A01AD4" w:rsidP="00A01AD4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A01AD4" w:rsidRDefault="00A01AD4" w:rsidP="00A01AD4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A01AD4" w:rsidRPr="0014478F" w:rsidRDefault="00A01AD4" w:rsidP="00A01AD4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A01AD4" w:rsidRDefault="00A01AD4" w:rsidP="00A01AD4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</w:t>
      </w:r>
      <w:r>
        <w:lastRenderedPageBreak/>
        <w:t xml:space="preserve">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A01AD4" w:rsidRDefault="00A01AD4" w:rsidP="00A01AD4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A01AD4" w:rsidRPr="0014478F" w:rsidRDefault="00A01AD4" w:rsidP="00A01AD4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A01AD4" w:rsidRPr="0014478F" w:rsidRDefault="00A01AD4" w:rsidP="00A01AD4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A01AD4" w:rsidRPr="0014478F" w:rsidRDefault="00A01AD4" w:rsidP="00A01AD4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A01AD4" w:rsidRDefault="00A01AD4" w:rsidP="00A01AD4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A01AD4" w:rsidRPr="0014478F" w:rsidRDefault="00A01AD4" w:rsidP="00A01AD4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A01AD4" w:rsidRDefault="00A01AD4" w:rsidP="00A01AD4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A01AD4" w:rsidRDefault="00A01AD4" w:rsidP="00A01AD4">
      <w:pPr>
        <w:jc w:val="both"/>
      </w:pPr>
    </w:p>
    <w:p w:rsidR="00A01AD4" w:rsidRDefault="00A01AD4" w:rsidP="00A01AD4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A01AD4" w:rsidRDefault="00A01AD4" w:rsidP="00A01AD4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A01AD4" w:rsidRDefault="00A01AD4" w:rsidP="00A01AD4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Поставщик должен 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A01AD4" w:rsidRDefault="00A01AD4" w:rsidP="00A01AD4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A01AD4" w:rsidRDefault="00A01AD4" w:rsidP="00A01AD4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D909DA" w:rsidRDefault="00D909DA"/>
    <w:sectPr w:rsidR="00D9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C4" w:rsidRDefault="007455C4" w:rsidP="00A01AD4">
      <w:r>
        <w:separator/>
      </w:r>
    </w:p>
  </w:endnote>
  <w:endnote w:type="continuationSeparator" w:id="0">
    <w:p w:rsidR="007455C4" w:rsidRDefault="007455C4" w:rsidP="00A0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C4" w:rsidRDefault="007455C4" w:rsidP="00A01AD4">
      <w:r>
        <w:separator/>
      </w:r>
    </w:p>
  </w:footnote>
  <w:footnote w:type="continuationSeparator" w:id="0">
    <w:p w:rsidR="007455C4" w:rsidRDefault="007455C4" w:rsidP="00A01AD4">
      <w:r>
        <w:continuationSeparator/>
      </w:r>
    </w:p>
  </w:footnote>
  <w:footnote w:id="1">
    <w:p w:rsidR="00A01AD4" w:rsidRPr="004D2FEC" w:rsidRDefault="00A01AD4" w:rsidP="00A01AD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A01AD4" w:rsidRDefault="00A01AD4" w:rsidP="00A01AD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4"/>
    <w:rsid w:val="005B1BF4"/>
    <w:rsid w:val="007455C4"/>
    <w:rsid w:val="00A01AD4"/>
    <w:rsid w:val="00D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2139-A325-4DEA-9929-338275C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1A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01AD4"/>
    <w:rPr>
      <w:vertAlign w:val="superscript"/>
    </w:rPr>
  </w:style>
  <w:style w:type="paragraph" w:customStyle="1" w:styleId="Standard">
    <w:name w:val="Standard"/>
    <w:rsid w:val="00A01A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6">
    <w:name w:val="List Paragraph"/>
    <w:basedOn w:val="a"/>
    <w:uiPriority w:val="34"/>
    <w:qFormat/>
    <w:rsid w:val="00A0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Пинаевская</dc:creator>
  <cp:keywords/>
  <dc:description/>
  <cp:lastModifiedBy>Марина Пинаевская</cp:lastModifiedBy>
  <cp:revision>2</cp:revision>
  <dcterms:created xsi:type="dcterms:W3CDTF">2018-10-05T11:10:00Z</dcterms:created>
  <dcterms:modified xsi:type="dcterms:W3CDTF">2018-10-05T11:11:00Z</dcterms:modified>
</cp:coreProperties>
</file>