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EB" w:rsidRPr="00657332" w:rsidRDefault="00881EEB" w:rsidP="00881EEB">
      <w:pPr>
        <w:widowControl/>
        <w:suppressAutoHyphens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b/>
          <w:sz w:val="24"/>
          <w:szCs w:val="24"/>
          <w:lang w:eastAsia="ar-SA"/>
        </w:rPr>
        <w:t>Наименование товара:</w:t>
      </w:r>
      <w:r w:rsidRPr="00657332">
        <w:rPr>
          <w:rFonts w:ascii="Times New Roman" w:hAnsi="Times New Roman" w:cs="Times New Roman"/>
          <w:sz w:val="24"/>
          <w:szCs w:val="24"/>
          <w:lang w:eastAsia="ar-SA"/>
        </w:rPr>
        <w:t xml:space="preserve"> Легковой автомобиль</w:t>
      </w:r>
    </w:p>
    <w:p w:rsidR="00881EEB" w:rsidRPr="00657332" w:rsidRDefault="00881EEB" w:rsidP="00881EEB">
      <w:pPr>
        <w:widowControl/>
        <w:numPr>
          <w:ilvl w:val="0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товару, условиям поставки: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Автомобили должны быть легковыми.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Автомобили должны быть новыми, ранее не бывшими в эксплуатации.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Автомобили должны быть 2018 года изготовления.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Автомобили должны соответствовать Коду по Общероссийскому классификатору ОК - 034-2014 (КПЕС 2008) ОКПД 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Поставляемые автомобили должны соответствовать "ГОСТ 33997-2016. Межгосударственный стандарт. Колесные транспортные средства. Требования к безопасности в эксплуатации и методы проверки" в части:</w:t>
      </w:r>
    </w:p>
    <w:p w:rsidR="00881EEB" w:rsidRPr="00657332" w:rsidRDefault="00881EEB" w:rsidP="00881EEB">
      <w:pPr>
        <w:widowControl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332">
        <w:rPr>
          <w:rFonts w:ascii="Times New Roman" w:hAnsi="Times New Roman" w:cs="Times New Roman"/>
          <w:i/>
          <w:sz w:val="24"/>
          <w:szCs w:val="24"/>
          <w:lang w:eastAsia="ar-SA"/>
        </w:rPr>
        <w:t>«</w:t>
      </w:r>
      <w:r w:rsidRPr="00657332">
        <w:rPr>
          <w:rFonts w:ascii="Times New Roman" w:hAnsi="Times New Roman" w:cs="Times New Roman"/>
          <w:i/>
          <w:sz w:val="24"/>
          <w:szCs w:val="24"/>
        </w:rPr>
        <w:t>4.1.1 Действие рабочей и запасной тормозных систем при торможении должно быть адекватным воздействию на орган управления тормозной системы.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i/>
          <w:sz w:val="24"/>
          <w:szCs w:val="24"/>
          <w:lang w:eastAsia="ar-SA"/>
        </w:rPr>
        <w:t>4.2.1 Изменение усилия при повороте рулевого колеса должно быть плавным во всем диапазоне угла его поворота.</w:t>
      </w:r>
    </w:p>
    <w:p w:rsidR="00881EEB" w:rsidRPr="00657332" w:rsidRDefault="00881EEB" w:rsidP="00881EEB">
      <w:pPr>
        <w:widowControl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332">
        <w:rPr>
          <w:rFonts w:ascii="Times New Roman" w:hAnsi="Times New Roman" w:cs="Times New Roman"/>
          <w:i/>
          <w:sz w:val="24"/>
          <w:szCs w:val="24"/>
        </w:rPr>
        <w:t>4.3.5 Внешние световые приборы КТС должны быть работоспособны.</w:t>
      </w:r>
    </w:p>
    <w:p w:rsidR="00881EEB" w:rsidRPr="00657332" w:rsidRDefault="00881EEB" w:rsidP="00881EEB">
      <w:pPr>
        <w:widowControl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332">
        <w:rPr>
          <w:rFonts w:ascii="Times New Roman" w:hAnsi="Times New Roman" w:cs="Times New Roman"/>
          <w:i/>
          <w:sz w:val="24"/>
          <w:szCs w:val="24"/>
        </w:rPr>
        <w:t>4.4.1 КТС должно быть укомплектовано стеклами, предусмотренными изготовителем.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i/>
          <w:sz w:val="24"/>
          <w:szCs w:val="24"/>
          <w:lang w:eastAsia="ar-SA"/>
        </w:rPr>
        <w:t>4.5.1 КТС должны быть укомплектованы шинами согласно эксплуатационной документации изготовителя КТС.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i/>
          <w:sz w:val="24"/>
          <w:szCs w:val="24"/>
          <w:lang w:eastAsia="ar-SA"/>
        </w:rPr>
        <w:t>4.7.1 Места для сидения в КТС,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момент выпуска КТС в обращение.</w:t>
      </w:r>
    </w:p>
    <w:p w:rsidR="00881EEB" w:rsidRPr="00657332" w:rsidRDefault="00881EEB" w:rsidP="00881EEB">
      <w:pPr>
        <w:widowControl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332">
        <w:rPr>
          <w:rFonts w:ascii="Times New Roman" w:hAnsi="Times New Roman" w:cs="Times New Roman"/>
          <w:i/>
          <w:sz w:val="24"/>
          <w:szCs w:val="24"/>
        </w:rPr>
        <w:t>4.10.1 Показания сигнализаторов бортовых (встроенных) средств контроля и диагностирования на КТС, оснащенных такими средствами, должны соответствовать работоспособному состоянию КТС. Бортовые средства контроля и диагностирования должны быть комплектны и сохранны, их видимые повреждения не допускаются.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i/>
          <w:sz w:val="24"/>
          <w:szCs w:val="24"/>
          <w:lang w:eastAsia="ar-SA"/>
        </w:rPr>
        <w:t>4.12.1 Идентификационный номер, нанесенный на КТС, должен соответствовать указанному в регистрационных документах на это КТС.»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7332">
        <w:rPr>
          <w:rFonts w:ascii="Times New Roman" w:hAnsi="Times New Roman" w:cs="Times New Roman"/>
          <w:sz w:val="24"/>
          <w:szCs w:val="24"/>
        </w:rPr>
        <w:t xml:space="preserve">Автомобили должны быть оборудованы в соответствии с п. 15 Приложения №3 </w:t>
      </w:r>
      <w:r w:rsidRPr="00657332">
        <w:rPr>
          <w:rFonts w:ascii="Times New Roman" w:hAnsi="Times New Roman" w:cs="Times New Roman"/>
          <w:iCs/>
          <w:sz w:val="24"/>
          <w:szCs w:val="24"/>
        </w:rPr>
        <w:t xml:space="preserve">"ТР ТС 018/2011. Технический регламент Таможенного союза. О безопасности колесных транспортных средств" утвержденного </w:t>
      </w:r>
      <w:r w:rsidRPr="00657332">
        <w:rPr>
          <w:rFonts w:ascii="Times New Roman" w:hAnsi="Times New Roman" w:cs="Times New Roman"/>
          <w:sz w:val="24"/>
          <w:szCs w:val="24"/>
        </w:rPr>
        <w:t>Решением Комиссии Таможенного союза от 09.12.2011 N 877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332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Pr="00657332">
        <w:rPr>
          <w:rFonts w:ascii="Times New Roman" w:hAnsi="Times New Roman" w:cs="Times New Roman"/>
          <w:sz w:val="24"/>
          <w:szCs w:val="24"/>
          <w:lang w:eastAsia="ar-SA"/>
        </w:rPr>
        <w:t>втомобили, должны быть предназначены для лиц с ограниченными физическими возможностями, с различными нарушениями функций (правой ноги; левой ноги, обеих ног) и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 xml:space="preserve"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</w:t>
      </w:r>
      <w:r w:rsidRPr="0065733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из иностранных государств, для целей осуществления закупок для обеспечения государственных и муниципальных нужд».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881EEB" w:rsidRPr="00657332" w:rsidRDefault="00881EEB" w:rsidP="00881EEB">
      <w:pPr>
        <w:widowControl/>
        <w:ind w:left="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1EEB" w:rsidRPr="00657332" w:rsidRDefault="00881EEB" w:rsidP="00881EEB">
      <w:pPr>
        <w:widowControl/>
        <w:numPr>
          <w:ilvl w:val="0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Документы, подтверждающие соответствие автомобилей установленным требованиям: 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Одобрение типа транспортного средства, выданное в соответствии с требованиями ТР ТС 018/2011.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EEB" w:rsidRPr="00657332" w:rsidRDefault="00881EEB" w:rsidP="00881EEB">
      <w:pPr>
        <w:widowControl/>
        <w:numPr>
          <w:ilvl w:val="0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Документы, передаваемые вместе с автомобилем: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• гарантийный талон на автомобиль;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• сервисная книжка;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• руководство по эксплуатации автомобиля;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• копия одобрения типа транспортного средства;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правой ноги; обеих ног);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EEB" w:rsidRPr="00657332" w:rsidRDefault="00881EEB" w:rsidP="00881EEB">
      <w:pPr>
        <w:widowControl/>
        <w:numPr>
          <w:ilvl w:val="0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Требования к количеству Товара.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Количество поставляемых автомобилей – 16 шт.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EEB" w:rsidRPr="00657332" w:rsidRDefault="00881EEB" w:rsidP="00881EEB">
      <w:pPr>
        <w:widowControl/>
        <w:numPr>
          <w:ilvl w:val="0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сроку и объему предоставления гарантий на товар: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Условия и порядок гарантийного обслуживания Товара указаны в Сервисной книжке, выдаваемой Получателю при фактической передачи Товара.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881EEB" w:rsidRPr="00657332" w:rsidRDefault="00881EEB" w:rsidP="00881EEB">
      <w:pPr>
        <w:widowControl/>
        <w:numPr>
          <w:ilvl w:val="1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sz w:val="24"/>
          <w:szCs w:val="24"/>
          <w:lang w:eastAsia="ar-SA"/>
        </w:rPr>
        <w:t>Срок службы товара должен составлять не менее 7 (семи) лет.</w:t>
      </w:r>
    </w:p>
    <w:p w:rsidR="00881EEB" w:rsidRPr="00657332" w:rsidRDefault="00881EEB" w:rsidP="00881EEB">
      <w:pPr>
        <w:widowControl/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81EEB" w:rsidRPr="00657332" w:rsidRDefault="00881EEB" w:rsidP="00881EEB">
      <w:pPr>
        <w:widowControl/>
        <w:numPr>
          <w:ilvl w:val="0"/>
          <w:numId w:val="1"/>
        </w:numPr>
        <w:suppressAutoHyphens/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573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Технические требования к автомобилям. Комплектация.</w:t>
      </w:r>
    </w:p>
    <w:p w:rsidR="00881EEB" w:rsidRDefault="00881EEB" w:rsidP="00881EE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1EEB" w:rsidRDefault="00881EEB" w:rsidP="00881EE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1EEB" w:rsidRPr="00657332" w:rsidRDefault="00881EEB" w:rsidP="00881EEB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Таблица №1</w:t>
      </w:r>
    </w:p>
    <w:tbl>
      <w:tblPr>
        <w:tblW w:w="10937" w:type="dxa"/>
        <w:tblInd w:w="-1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8"/>
        <w:gridCol w:w="5103"/>
        <w:gridCol w:w="1276"/>
        <w:gridCol w:w="850"/>
        <w:gridCol w:w="1134"/>
        <w:gridCol w:w="1276"/>
      </w:tblGrid>
      <w:tr w:rsidR="00881EEB" w:rsidRPr="00657332" w:rsidTr="00881EEB">
        <w:trPr>
          <w:trHeight w:val="842"/>
        </w:trPr>
        <w:tc>
          <w:tcPr>
            <w:tcW w:w="1298" w:type="dxa"/>
            <w:tcMar>
              <w:top w:w="15" w:type="dxa"/>
            </w:tcMar>
            <w:vAlign w:val="center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bookmarkStart w:id="0" w:name="_GoBack"/>
            <w:bookmarkEnd w:id="0"/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 xml:space="preserve">Наименование товара </w:t>
            </w:r>
          </w:p>
        </w:tc>
        <w:tc>
          <w:tcPr>
            <w:tcW w:w="5103" w:type="dxa"/>
            <w:tcMar>
              <w:top w:w="15" w:type="dxa"/>
            </w:tcMar>
            <w:vAlign w:val="center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Функциональные и технические    характеристики товара</w:t>
            </w:r>
          </w:p>
        </w:tc>
        <w:tc>
          <w:tcPr>
            <w:tcW w:w="1276" w:type="dxa"/>
            <w:vAlign w:val="center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Начальная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максимальная цена за шт., руб.</w:t>
            </w:r>
          </w:p>
        </w:tc>
        <w:tc>
          <w:tcPr>
            <w:tcW w:w="850" w:type="dxa"/>
            <w:vAlign w:val="center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Количество, шт.</w:t>
            </w:r>
          </w:p>
        </w:tc>
        <w:tc>
          <w:tcPr>
            <w:tcW w:w="1134" w:type="dxa"/>
            <w:vAlign w:val="center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Срок гарантии,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proofErr w:type="spellStart"/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мес</w:t>
            </w:r>
            <w:proofErr w:type="spellEnd"/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, км</w:t>
            </w:r>
          </w:p>
        </w:tc>
        <w:tc>
          <w:tcPr>
            <w:tcW w:w="1276" w:type="dxa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Срок службы, мес.</w:t>
            </w:r>
          </w:p>
        </w:tc>
      </w:tr>
      <w:tr w:rsidR="00881EEB" w:rsidRPr="00657332" w:rsidTr="00881EEB">
        <w:trPr>
          <w:trHeight w:val="862"/>
        </w:trPr>
        <w:tc>
          <w:tcPr>
            <w:tcW w:w="1298" w:type="dxa"/>
            <w:tcMar>
              <w:top w:w="15" w:type="dxa"/>
            </w:tcMar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Легковой автомобиль с АКПП</w:t>
            </w:r>
          </w:p>
        </w:tc>
        <w:tc>
          <w:tcPr>
            <w:tcW w:w="5103" w:type="dxa"/>
            <w:tcMar>
              <w:top w:w="15" w:type="dxa"/>
            </w:tcMar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1. Категория транспортного средства - М1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2. Количество дверей- не менее 4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3. Экологический класс - не менее 5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4. Колесная формула/ведущие колеса - 4 х 2 / передние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 xml:space="preserve">5. Расположение двигателя - переднее поперечное 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6. Количество мест спереди/сзади - не менее 2/3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7. Рабочий объем, см 3 – не более 1600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8. Топливо - Бензин с октановым числом не менее 92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9. Коробка передач (тип) - автоматическая (допускается роботизированная)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EEB" w:rsidRPr="00657332" w:rsidRDefault="00881EEB" w:rsidP="005F6B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733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511957,14</w:t>
            </w:r>
          </w:p>
        </w:tc>
        <w:tc>
          <w:tcPr>
            <w:tcW w:w="850" w:type="dxa"/>
            <w:shd w:val="clear" w:color="auto" w:fill="auto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10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57332">
              <w:rPr>
                <w:rFonts w:ascii="Times New Roman" w:hAnsi="Times New Roman" w:cs="Times New Roman"/>
                <w:lang w:eastAsia="ar-SA"/>
              </w:rPr>
              <w:t>не менее 36 месяцев или не менее 100 000 км (в зависимости от того, что наступит раньше)</w:t>
            </w:r>
          </w:p>
        </w:tc>
        <w:tc>
          <w:tcPr>
            <w:tcW w:w="1276" w:type="dxa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Не менее 7 лет</w:t>
            </w:r>
          </w:p>
        </w:tc>
      </w:tr>
      <w:tr w:rsidR="00881EEB" w:rsidRPr="00657332" w:rsidTr="00881EEB">
        <w:trPr>
          <w:trHeight w:val="2196"/>
        </w:trPr>
        <w:tc>
          <w:tcPr>
            <w:tcW w:w="1298" w:type="dxa"/>
            <w:tcMar>
              <w:top w:w="15" w:type="dxa"/>
            </w:tcMar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Легковой автомобиль с МКПП</w:t>
            </w:r>
          </w:p>
        </w:tc>
        <w:tc>
          <w:tcPr>
            <w:tcW w:w="5103" w:type="dxa"/>
            <w:tcMar>
              <w:top w:w="15" w:type="dxa"/>
            </w:tcMar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1. Категория транспортного средства - М1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2. Количество дверей- не менее 4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3. Экологический класс - не менее 5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4. Колесная формула/ведущие колеса - 4 х 2 / передние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 xml:space="preserve">5. Расположение двигателя - переднее поперечное 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6. Количество мест спереди/сзади - не менее 2/3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7. Рабочий объем, см 3 - не более 1600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8. Топливо - Бензин с октановым числом не менее 92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9. Коробка передач (тип) -механическая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65733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479628,57</w:t>
            </w:r>
          </w:p>
        </w:tc>
        <w:tc>
          <w:tcPr>
            <w:tcW w:w="850" w:type="dxa"/>
            <w:shd w:val="clear" w:color="auto" w:fill="auto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lang w:eastAsia="ar-SA"/>
              </w:rPr>
              <w:t>не менее 36 месяцев или не менее 100 000 км (в зависимости от того, что наступит раньше)</w:t>
            </w:r>
          </w:p>
        </w:tc>
        <w:tc>
          <w:tcPr>
            <w:tcW w:w="1276" w:type="dxa"/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szCs w:val="24"/>
                <w:lang w:eastAsia="ar-SA"/>
              </w:rPr>
              <w:t>Не менее 7 лет</w:t>
            </w:r>
          </w:p>
        </w:tc>
      </w:tr>
      <w:tr w:rsidR="00881EEB" w:rsidRPr="00657332" w:rsidTr="00881EEB">
        <w:trPr>
          <w:trHeight w:val="378"/>
        </w:trPr>
        <w:tc>
          <w:tcPr>
            <w:tcW w:w="10937" w:type="dxa"/>
            <w:gridSpan w:val="6"/>
            <w:tcMar>
              <w:top w:w="15" w:type="dxa"/>
            </w:tcMar>
          </w:tcPr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733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65733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оличество товара: 16 шт.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н</w:t>
            </w:r>
            <w:r w:rsidRPr="0065733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ачальная (максимальная) цена контракта: 7 997 342 руб. 82 коп.</w:t>
            </w:r>
          </w:p>
          <w:p w:rsidR="00881EEB" w:rsidRPr="00657332" w:rsidRDefault="00881EEB" w:rsidP="005F6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</w:tbl>
    <w:p w:rsidR="00881EEB" w:rsidRDefault="00881EEB" w:rsidP="00881EEB">
      <w:pPr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881EEB" w:rsidRDefault="00881EEB" w:rsidP="00881EEB">
      <w:pPr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881EEB" w:rsidRDefault="00881EEB" w:rsidP="00881EEB">
      <w:pPr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881EEB" w:rsidRDefault="00881EEB" w:rsidP="00881EEB">
      <w:pPr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683682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ar-SA"/>
        </w:rPr>
        <w:t>Порядок указания значения показателей участниками закупки:</w:t>
      </w:r>
      <w:r w:rsidRPr="009A6B06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участники закупок указывают значения показателей в заявке в пределах значений, указанных в Таблице №1 технической части.</w:t>
      </w:r>
    </w:p>
    <w:p w:rsidR="00881EEB" w:rsidRPr="009C0986" w:rsidRDefault="00881EEB" w:rsidP="00881EEB">
      <w:pPr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881EEB" w:rsidRPr="009C0986" w:rsidRDefault="00881EEB" w:rsidP="00881EE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0986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*Участники закупки в соответствии с </w:t>
      </w:r>
      <w:r w:rsidRPr="009C0986">
        <w:rPr>
          <w:rFonts w:ascii="Times New Roman" w:hAnsi="Times New Roman" w:cs="Times New Roman"/>
          <w:sz w:val="24"/>
          <w:szCs w:val="24"/>
          <w:lang w:eastAsia="ar-SA"/>
        </w:rPr>
        <w:t xml:space="preserve">частью </w:t>
      </w:r>
      <w:r w:rsidRPr="009C0986">
        <w:rPr>
          <w:rFonts w:ascii="Times New Roman" w:hAnsi="Times New Roman" w:cs="Times New Roman"/>
          <w:sz w:val="24"/>
          <w:szCs w:val="24"/>
          <w:lang w:val="en-US" w:eastAsia="ar-SA"/>
        </w:rPr>
        <w:t>II</w:t>
      </w:r>
      <w:r>
        <w:rPr>
          <w:rFonts w:ascii="Times New Roman" w:hAnsi="Times New Roman" w:cs="Times New Roman"/>
          <w:sz w:val="24"/>
          <w:szCs w:val="24"/>
          <w:lang w:eastAsia="ar-SA"/>
        </w:rPr>
        <w:t>, раздела 1</w:t>
      </w:r>
      <w:r w:rsidRPr="009C0986">
        <w:rPr>
          <w:rFonts w:ascii="Times New Roman" w:hAnsi="Times New Roman" w:cs="Times New Roman"/>
          <w:sz w:val="24"/>
          <w:szCs w:val="24"/>
          <w:lang w:eastAsia="ar-SA"/>
        </w:rPr>
        <w:t xml:space="preserve"> Технической част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9C0986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настоящей документации указывают в заявке максимальные и (или) минимальные значения показателей, а также значения показателей, которые не могут изменяться</w:t>
      </w:r>
    </w:p>
    <w:p w:rsidR="00881EEB" w:rsidRDefault="00881EEB" w:rsidP="00881EE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81EEB" w:rsidRDefault="00881EEB" w:rsidP="00881EE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81EEB" w:rsidRDefault="00881EEB" w:rsidP="00881EE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81EEB" w:rsidRDefault="00881EEB" w:rsidP="00881EE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81EEB" w:rsidRDefault="00881EEB" w:rsidP="00881EE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81EEB" w:rsidRDefault="00881EEB" w:rsidP="00881EE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81EEB" w:rsidRDefault="00881EEB" w:rsidP="00881EE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81EEB" w:rsidRDefault="00881EEB" w:rsidP="00881EE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81EEB" w:rsidRDefault="00881EEB" w:rsidP="00881EE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6226A"/>
    <w:multiLevelType w:val="multilevel"/>
    <w:tmpl w:val="3ECC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EB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1EEB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206B-C0B5-4C85-B57D-505C87B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2018-10-10T08:36:00Z</dcterms:created>
  <dcterms:modified xsi:type="dcterms:W3CDTF">2018-10-10T08:36:00Z</dcterms:modified>
</cp:coreProperties>
</file>