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20" w:rsidRDefault="00CD0320" w:rsidP="00CD0320">
      <w:pPr>
        <w:ind w:firstLine="851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B5A3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ТЕХНИЧЕСКАЯ ЧАСТЬ</w:t>
      </w:r>
    </w:p>
    <w:p w:rsidR="00CD0320" w:rsidRDefault="00CD0320" w:rsidP="00CD0320">
      <w:pPr>
        <w:keepNext/>
        <w:widowControl/>
        <w:tabs>
          <w:tab w:val="left" w:pos="70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B60E1A">
        <w:rPr>
          <w:rFonts w:ascii="Times New Roman" w:hAnsi="Times New Roman" w:cs="Times New Roman"/>
          <w:sz w:val="24"/>
          <w:szCs w:val="22"/>
          <w:u w:val="single"/>
        </w:rPr>
        <w:t>1. Требования к качеству, техническим, функциональным характеристикам специальных средств при нарушениях функций выделения (уро - и калоприемникам), их размерам:</w:t>
      </w:r>
    </w:p>
    <w:p w:rsidR="00CD0320" w:rsidRPr="00B60E1A" w:rsidRDefault="00CD0320" w:rsidP="00CD0320">
      <w:pPr>
        <w:keepNext/>
        <w:widowControl/>
        <w:tabs>
          <w:tab w:val="left" w:pos="70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B60E1A">
        <w:rPr>
          <w:rFonts w:ascii="Times New Roman" w:hAnsi="Times New Roman" w:cs="Times New Roman"/>
          <w:sz w:val="24"/>
          <w:szCs w:val="22"/>
        </w:rPr>
        <w:t>- специальные средства при нарушениях функций выделения (уро - и калоприемники) - это устройства, носимые на себе, предназначенные для сбора кишечного содержимого и мочи, и устранения их агрессивного воздействия на кожу;</w:t>
      </w:r>
    </w:p>
    <w:p w:rsidR="00CD0320" w:rsidRDefault="00CD0320" w:rsidP="00CD0320">
      <w:pPr>
        <w:keepNext/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B60E1A">
        <w:rPr>
          <w:rFonts w:ascii="Times New Roman" w:hAnsi="Times New Roman" w:cs="Times New Roman"/>
          <w:sz w:val="24"/>
          <w:szCs w:val="22"/>
        </w:rPr>
        <w:t>- конструкция специальных средств при нарушениях функций выделения (уро - и калоприемников) должна обеспечивать пользователю удобство и простоту обращения с ними.</w:t>
      </w:r>
    </w:p>
    <w:p w:rsidR="00CD0320" w:rsidRPr="00B60E1A" w:rsidRDefault="00CD0320" w:rsidP="00CD0320">
      <w:pPr>
        <w:keepNext/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B60E1A">
        <w:rPr>
          <w:rFonts w:ascii="Times New Roman" w:hAnsi="Times New Roman" w:cs="Times New Roman"/>
          <w:sz w:val="24"/>
          <w:szCs w:val="22"/>
        </w:rPr>
        <w:t>В специальных средствах при нарушениях функций выделения (уро - и калоприемниках) не допускаются механические повреждения (разрыв края, разрезы и т.п.), видимые невооруженным глазом.</w:t>
      </w:r>
    </w:p>
    <w:p w:rsidR="00CD0320" w:rsidRPr="00B60E1A" w:rsidRDefault="00CD0320" w:rsidP="00CD032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0E1A">
        <w:rPr>
          <w:rFonts w:ascii="Times New Roman" w:hAnsi="Times New Roman" w:cs="Times New Roman"/>
          <w:sz w:val="24"/>
          <w:szCs w:val="24"/>
        </w:rPr>
        <w:t xml:space="preserve">Специальные средства при нарушениях функций выделения (моче – и калоприемники) представлены в Национальном стандарте РФ ГОСТ РИСО 9999-2014 "Вспомогательные средства для людей с ограничениями жизнедеятельности. Классификация и терминология". </w:t>
      </w:r>
    </w:p>
    <w:p w:rsidR="00CD0320" w:rsidRPr="00B60E1A" w:rsidRDefault="00CD0320" w:rsidP="00CD032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E1A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специальных средств, при нарушениях функций выделения должны быть разрешены к применению Министерством Здравоохранения Российской Федерации. </w:t>
      </w:r>
    </w:p>
    <w:p w:rsidR="00CD0320" w:rsidRDefault="00CD0320" w:rsidP="00CD0320">
      <w:pPr>
        <w:keepNext/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60E1A">
        <w:rPr>
          <w:rFonts w:ascii="Times New Roman" w:hAnsi="Times New Roman" w:cs="Times New Roman"/>
          <w:bCs/>
          <w:sz w:val="24"/>
          <w:szCs w:val="28"/>
        </w:rPr>
        <w:t xml:space="preserve">2. Согласно ГОСТ </w:t>
      </w:r>
      <w:r w:rsidRPr="00B60E1A">
        <w:rPr>
          <w:rFonts w:ascii="Times New Roman" w:hAnsi="Times New Roman" w:cs="Times New Roman"/>
          <w:bCs/>
          <w:kern w:val="36"/>
          <w:sz w:val="24"/>
          <w:szCs w:val="24"/>
        </w:rPr>
        <w:t xml:space="preserve">Р 51632-2014 Технические средства реабилитации людей с ограничениями жизнедеятельности. Общие технические требования и методы испытаний </w:t>
      </w:r>
      <w:r w:rsidRPr="00B60E1A">
        <w:rPr>
          <w:rFonts w:ascii="Times New Roman" w:hAnsi="Times New Roman" w:cs="Times New Roman"/>
          <w:bCs/>
          <w:sz w:val="24"/>
          <w:szCs w:val="28"/>
        </w:rPr>
        <w:t xml:space="preserve">предъявляются следующие </w:t>
      </w:r>
      <w:r w:rsidRPr="00B60E1A">
        <w:rPr>
          <w:rFonts w:ascii="Times New Roman" w:hAnsi="Times New Roman" w:cs="Times New Roman"/>
          <w:bCs/>
          <w:sz w:val="24"/>
          <w:szCs w:val="28"/>
          <w:u w:val="single"/>
        </w:rPr>
        <w:t>требования к упаковке</w:t>
      </w:r>
      <w:r w:rsidRPr="00B60E1A">
        <w:rPr>
          <w:rFonts w:ascii="Times New Roman" w:hAnsi="Times New Roman" w:cs="Times New Roman"/>
          <w:bCs/>
          <w:sz w:val="24"/>
          <w:szCs w:val="28"/>
        </w:rPr>
        <w:t>:</w:t>
      </w:r>
    </w:p>
    <w:p w:rsidR="00CD0320" w:rsidRPr="00B60E1A" w:rsidRDefault="00CD0320" w:rsidP="00CD0320">
      <w:pPr>
        <w:keepNext/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60E1A">
        <w:rPr>
          <w:rFonts w:ascii="Times New Roman" w:hAnsi="Times New Roman" w:cs="Times New Roman"/>
          <w:sz w:val="24"/>
          <w:szCs w:val="24"/>
        </w:rPr>
        <w:t>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CD0320" w:rsidRPr="00B60E1A" w:rsidRDefault="00CD0320" w:rsidP="00CD032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0E1A">
        <w:rPr>
          <w:rFonts w:ascii="Times New Roman" w:hAnsi="Times New Roman" w:cs="Times New Roman"/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CD0320" w:rsidRDefault="00CD0320" w:rsidP="00CD0320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0396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4281"/>
        <w:gridCol w:w="1701"/>
        <w:gridCol w:w="993"/>
      </w:tblGrid>
      <w:tr w:rsidR="00CD0320" w:rsidRPr="00B60E1A" w:rsidTr="00CD0320">
        <w:tc>
          <w:tcPr>
            <w:tcW w:w="426" w:type="dxa"/>
            <w:vAlign w:val="center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984" w:type="dxa"/>
            <w:vAlign w:val="center"/>
          </w:tcPr>
          <w:p w:rsidR="00CD0320" w:rsidRPr="00B60E1A" w:rsidRDefault="00CD0320" w:rsidP="00F40223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81" w:type="dxa"/>
            <w:vAlign w:val="center"/>
          </w:tcPr>
          <w:p w:rsidR="00CD0320" w:rsidRPr="00B60E1A" w:rsidRDefault="00CD0320" w:rsidP="00F4022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701" w:type="dxa"/>
            <w:vAlign w:val="center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Начальная (максимальная) цена за шт. товара</w:t>
            </w:r>
          </w:p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993" w:type="dxa"/>
            <w:vAlign w:val="center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</w:t>
            </w:r>
            <w:bookmarkStart w:id="0" w:name="_GoBack"/>
            <w:bookmarkEnd w:id="0"/>
            <w:r w:rsidRPr="00B60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во, шт.</w:t>
            </w:r>
          </w:p>
        </w:tc>
      </w:tr>
      <w:tr w:rsidR="00CD0320" w:rsidRPr="00B60E1A" w:rsidTr="00CD0320">
        <w:tc>
          <w:tcPr>
            <w:tcW w:w="426" w:type="dxa"/>
            <w:vAlign w:val="center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84" w:type="dxa"/>
            <w:vAlign w:val="center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281" w:type="dxa"/>
            <w:vAlign w:val="center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701" w:type="dxa"/>
            <w:vAlign w:val="center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93" w:type="dxa"/>
            <w:vAlign w:val="center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</w:tr>
      <w:tr w:rsidR="00CD0320" w:rsidRPr="00B60E1A" w:rsidTr="00CD0320">
        <w:trPr>
          <w:trHeight w:val="1317"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180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дренируемый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уроприемник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со встроенной плоской пластиной</w:t>
            </w: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Уроприемники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однокомпонентные дренируемые:</w:t>
            </w:r>
          </w:p>
          <w:p w:rsidR="00CD0320" w:rsidRPr="00B60E1A" w:rsidRDefault="00CD0320" w:rsidP="00F40223">
            <w:pPr>
              <w:keepNext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- дренируемый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уростомный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мешок неразъемный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антирефлюксным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и сливным клапанами;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-встроенная круглая или овальная гибкая легко наклеивающаяся и отклеивающаяся адгезивная пластина на натуральной,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. Не должна вызывать механического повреждения кожи при отклеивании.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65,52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2433</w:t>
            </w:r>
          </w:p>
        </w:tc>
      </w:tr>
      <w:tr w:rsidR="00CD0320" w:rsidRPr="00B60E1A" w:rsidTr="00CD0320">
        <w:trPr>
          <w:cantSplit/>
          <w:trHeight w:val="1300"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Двухкомпонентный дренируемый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уроприемник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в комплекте</w:t>
            </w: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адгезивная пластина, плоская.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Гибкая круглая или овальная легко наклеивающаяся и отклеивающаяся </w:t>
            </w:r>
            <w:r w:rsidRPr="00B60E1A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дгезивная пластина с клеевым слоем на натуральной,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стому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, с фланцем для крепления </w:t>
            </w:r>
            <w:proofErr w:type="gram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мешка,  соответствующим</w:t>
            </w:r>
            <w:proofErr w:type="gram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фланцу мешка. Не должна вызывать механического повреждения кожи при отклеивании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Не менее 3 типоразмеров по диаметру фланца для крепления мешка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61,32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CD0320" w:rsidRPr="00B60E1A" w:rsidTr="00CD0320">
        <w:trPr>
          <w:cantSplit/>
          <w:trHeight w:val="995"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84" w:type="dxa"/>
            <w:vMerge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уростомный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мешок.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мешок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уростомный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proofErr w:type="gram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антирефлюксным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 и</w:t>
            </w:r>
            <w:proofErr w:type="gram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сливным клапанами, с фланцем для крепления мешка к пластине, соответствующим фланцу пластины.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Не менее 3 типоразмеров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60,34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Мочеприемник ножной (для сбора мочи), дневной</w:t>
            </w: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Мешок состоит из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неперекручивающейся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приводной трубки, мешка для сбора </w:t>
            </w:r>
            <w:proofErr w:type="gram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мочи  и</w:t>
            </w:r>
            <w:proofErr w:type="gram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сливного крана. Проксимальный конец приводной трубки заканчивается коннектором конусообразной формы типа "елочка" для более плотного соединения и минимизации риска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рассоединения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уропрезервативом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. Мешок для сбора мочи прямоугольной формы. Выполнен из полиэтилена, с нетканой подложкой. На мешке 4 насечки - 2 на нижнем краю и 2 - на верхнем для удобной фиксации мешка на ноге пациента, со сливного краном, расположен по нижнему краю сборного мешка, по центру.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мешка. 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54,21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Мочеприемник прикроватный </w:t>
            </w:r>
            <w:proofErr w:type="gram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( для</w:t>
            </w:r>
            <w:proofErr w:type="gram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сбора мочи), ночной</w:t>
            </w:r>
          </w:p>
        </w:tc>
        <w:tc>
          <w:tcPr>
            <w:tcW w:w="428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Мешок состоит из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неперекручивающейся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приводной трубки, мешка для сбора </w:t>
            </w:r>
            <w:proofErr w:type="gram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мочи  и</w:t>
            </w:r>
            <w:proofErr w:type="gram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сливного крана. Проксимальный конец приводной трубки заканчивается коннектором конусообразной формы для более плотного соединения и минимизации риска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рассоединения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уропрезервативом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. Мешок для сбора мочи прямоугольной формы. Выполнен из полиэтилена. </w:t>
            </w:r>
            <w:proofErr w:type="gram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Универсальный  переходник</w:t>
            </w:r>
            <w:proofErr w:type="gram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мешка. 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49,19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2810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Пара ремешков для крепления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мочепремников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(мешков для сбора мочи) к ноге</w:t>
            </w:r>
          </w:p>
        </w:tc>
        <w:tc>
          <w:tcPr>
            <w:tcW w:w="428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Ремешки для крепления ножных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уроприемников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на ноге, с силиконовой прослойкой для предотвращения скольжения ремешка по </w:t>
            </w:r>
            <w:proofErr w:type="gram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ноге,  регулируемые</w:t>
            </w:r>
            <w:proofErr w:type="gram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по длине.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90,18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</w:tr>
      <w:tr w:rsidR="00CD0320" w:rsidRPr="00B60E1A" w:rsidTr="00CD0320">
        <w:trPr>
          <w:cantSplit/>
          <w:trHeight w:val="903"/>
        </w:trPr>
        <w:tc>
          <w:tcPr>
            <w:tcW w:w="426" w:type="dxa"/>
            <w:tcBorders>
              <w:bottom w:val="single" w:sz="4" w:space="0" w:color="auto"/>
            </w:tcBorders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Уропрезерватив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самоклеящийся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Уропрезерватив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для соединения с приводной трубкой ножных мешков. Имеют устойчивый к перегибанию дистальный конец с укрепленным основанием для беспрепятственного оттока мочи. Изготовлен из медицинского латекса. Не менее 3 типоразмеров.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35,96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1470</w:t>
            </w:r>
          </w:p>
        </w:tc>
      </w:tr>
      <w:tr w:rsidR="00CD0320" w:rsidRPr="00B60E1A" w:rsidTr="00CD0320"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Уропрезерватив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с пластырем</w:t>
            </w: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Уропрезерватив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 пластырем для соединения с приводной трубкой ножных мешков. Крепление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уропрезервативов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осуществляется пластырем (полоской, имеющей с двух сторон гидроколлоидный адгезивный слой). Сливной конец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уропрезервативов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обеспечивает беспрепятственный отток мочи. Изготовлены из медицинского латекса. Не менее 3 типоразмеров.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31,41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</w:tr>
      <w:tr w:rsidR="00CD0320" w:rsidRPr="00B60E1A" w:rsidTr="00CD0320"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Катетер для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эпицистостомы</w:t>
            </w:r>
            <w:proofErr w:type="spellEnd"/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60E1A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атетеры для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эпицистостомы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(типа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Пеццера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Фоллея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Не менее 5 типоразмеров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43,14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</w:p>
        </w:tc>
      </w:tr>
      <w:tr w:rsidR="00CD0320" w:rsidRPr="00B60E1A" w:rsidTr="00CD0320">
        <w:trPr>
          <w:trHeight w:val="1694"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Катетер для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самокатетеризации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Катетеры для </w:t>
            </w:r>
            <w:proofErr w:type="spellStart"/>
            <w:r w:rsidRPr="00B60E1A">
              <w:rPr>
                <w:rFonts w:ascii="Times New Roman" w:hAnsi="Times New Roman" w:cs="Times New Roman"/>
                <w:bCs/>
                <w:sz w:val="16"/>
                <w:szCs w:val="16"/>
              </w:rPr>
              <w:t>самокатетеризации</w:t>
            </w:r>
            <w:proofErr w:type="spellEnd"/>
            <w:r w:rsidRPr="00B60E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различных размеров – должны быть </w:t>
            </w: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изготовлены из поливинилхлорида</w:t>
            </w:r>
            <w:r w:rsidRPr="00B60E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покрыты снаружи гидрофильным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лубрикантом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поливинилпирролидоном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Наконечник катетера прямой </w:t>
            </w:r>
            <w:proofErr w:type="gram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цилиндрический,  с</w:t>
            </w:r>
            <w:proofErr w:type="gram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двумя боковыми отверстиями, с отполированными и покрытыми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поливинилпирролидоном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краями. Катетер имеет воронкообразный коннектор для соединения со стандартным мешком-мочеприемником. Катетер стерилен и находится в индивидуальной упаковке, не требует контакта с водой для активации.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bCs/>
                <w:sz w:val="16"/>
                <w:szCs w:val="16"/>
              </w:rPr>
              <w:t>Катетеры одноразовые: мужские, женские, детские.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60,23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9842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Наборы - мочеприемники для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самокатетризации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: мешок-мочеприемник, катетер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лубрицированный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самокатетеризации</w:t>
            </w:r>
            <w:proofErr w:type="spellEnd"/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Наборы - мочеприемники для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самокатетризации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: мешок-мочеприемник, катетер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лубрицированный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самокатетеризации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. Могут поставляться в нескольких типоразмерах. Должны поставляться женские и мужские.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242,40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Паста-герметик для защиты и выравнивания кожи вокруг </w:t>
            </w:r>
            <w:proofErr w:type="spellStart"/>
            <w:r w:rsidRPr="00B60E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стомы</w:t>
            </w:r>
            <w:proofErr w:type="spellEnd"/>
            <w:r w:rsidRPr="00B60E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тубе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Консистенция пасты - гладкая, однородная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мазеподобная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масса. Паста при заполнении зазоров между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стомой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Также паста должна обладать свойством выравнивания неровностей при нанесении на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перистомальную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кожу, что делает более продолжительным период ношения калоприемника. Объем одного тюбика должен быть не менее 60 гр. Паста должна быть сделана на основе гидроколлоидного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адгезива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234,35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Паста-герметик для защиты и выравнивания кожи вокруг </w:t>
            </w:r>
            <w:proofErr w:type="spellStart"/>
            <w:r w:rsidRPr="00B60E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стомы</w:t>
            </w:r>
            <w:proofErr w:type="spellEnd"/>
            <w:r w:rsidRPr="00B60E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полосках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Применяется для заполнения полостей, складок на коже, защиты кожи от раздражения или как дополнительное средство герметизации.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Паста при заполнении зазоров между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стомой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Поставляется в </w:t>
            </w:r>
            <w:proofErr w:type="gram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полосках  объемом</w:t>
            </w:r>
            <w:proofErr w:type="gram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60 г.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431,32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Пудра (порошок) абсорбирующая в тубе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Применяется для ухода </w:t>
            </w:r>
            <w:proofErr w:type="gram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за 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мацерированной</w:t>
            </w:r>
            <w:proofErr w:type="spellEnd"/>
            <w:proofErr w:type="gram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кожей, устранения осложнений и раздражений кожи в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перистомальной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области- обладает рассыпчатой консистенцией.  Порошок должен наноситься на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перистомальную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, а также более длительному ношению калоприемника. Объем одного тюбика должен быть не менее 25 гр. Порошок (пудра) состоит из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гидроколлоидов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170,07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защитный в тубе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Консистенция - гладкая, однородная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мазеподобная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масса. Должна обладать заживляющим эффектом. Должна наноситься на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перистомальну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кожу на 15-20 мин. Объем одного тюбика должен быть не менее 60 мл. 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170,19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Защитная пленка в форме салфеток</w:t>
            </w: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Применяется для кожи вокруг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– мягкие, нетканые целлюлозные салфетки, пропитанные защитным раствором. Этот раствор должен быстро испаряться и образовывать на коже защитную пленку. Создавшаяся пленка должна создавать защитный барьер между кожей и адгезивной пластиной.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13,76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Защитная пленка во флаконе</w:t>
            </w: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Применяется для кожи вокруг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–средство для защиты кожи вокруг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адгезивов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перистомальной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301,21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Очиститель для кожи в форме салфеток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пасты, пленки, комфортно обеспечивает гигиену кожи вокруг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. Поставляется в салфетках.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Наличие специальной засечки на каждом блистере для легкого вскрытия.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12,86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Очиститель для кожи во флаконе</w:t>
            </w: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пасты, пленки, комфортно обеспечивает гигиену кожи вокруг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. Поставляется во флаконах объемом не менее 180 мл.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164,6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Нейтрализатор запаха во флаконе</w:t>
            </w:r>
          </w:p>
        </w:tc>
        <w:tc>
          <w:tcPr>
            <w:tcW w:w="4281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Нейтрализует (устраняет) запах при его образовании. Поставляется во флаконах не менее 50 мл.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240,93</w:t>
            </w:r>
          </w:p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D0320" w:rsidRPr="00B60E1A" w:rsidTr="00CD0320">
        <w:trPr>
          <w:cantSplit/>
        </w:trPr>
        <w:tc>
          <w:tcPr>
            <w:tcW w:w="426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984" w:type="dxa"/>
          </w:tcPr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 xml:space="preserve">Пояс для калоприемников и 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уроприемников</w:t>
            </w:r>
            <w:proofErr w:type="spellEnd"/>
          </w:p>
        </w:tc>
        <w:tc>
          <w:tcPr>
            <w:tcW w:w="4281" w:type="dxa"/>
          </w:tcPr>
          <w:p w:rsidR="00CD0320" w:rsidRPr="00B60E1A" w:rsidRDefault="00CD0320" w:rsidP="00F4022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Применяется для дополнительной фиксации калоприемника/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уроприемника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. Пояс должен обеспечивать дополнительную надежность и увеличивает время ношения калоприемника/</w:t>
            </w:r>
            <w:proofErr w:type="spellStart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уроприемника</w:t>
            </w:r>
            <w:proofErr w:type="spellEnd"/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0320" w:rsidRPr="00B60E1A" w:rsidRDefault="00CD0320" w:rsidP="00F40223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Пояс должен изготавливаться из натуральных материалов. Пояс должен быть гибким и комфортным при ношении. Длина пояса должна легко регулироваться.</w:t>
            </w:r>
          </w:p>
        </w:tc>
        <w:tc>
          <w:tcPr>
            <w:tcW w:w="1701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174,77</w:t>
            </w:r>
          </w:p>
        </w:tc>
        <w:tc>
          <w:tcPr>
            <w:tcW w:w="993" w:type="dxa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E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D0320" w:rsidRPr="00B60E1A" w:rsidTr="00CD0320">
        <w:trPr>
          <w:cantSplit/>
        </w:trPr>
        <w:tc>
          <w:tcPr>
            <w:tcW w:w="9385" w:type="dxa"/>
            <w:gridSpan w:val="5"/>
          </w:tcPr>
          <w:p w:rsidR="00CD0320" w:rsidRPr="00B60E1A" w:rsidRDefault="00CD0320" w:rsidP="00F402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</w:rPr>
            </w:pPr>
            <w:r w:rsidRPr="00B60E1A">
              <w:rPr>
                <w:rFonts w:ascii="Times New Roman" w:hAnsi="Times New Roman" w:cs="Times New Roman"/>
                <w:b/>
              </w:rPr>
              <w:t>Итого – 24 935 шт., 1 520 238 руб. 28 коп.</w:t>
            </w:r>
          </w:p>
        </w:tc>
      </w:tr>
    </w:tbl>
    <w:p w:rsidR="00CD0320" w:rsidRDefault="00CD0320" w:rsidP="00CD0320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0320" w:rsidRPr="00B60E1A" w:rsidRDefault="00CD0320" w:rsidP="00CD03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E1A">
        <w:rPr>
          <w:rFonts w:ascii="Times New Roman" w:hAnsi="Times New Roman" w:cs="Times New Roman"/>
          <w:sz w:val="24"/>
          <w:szCs w:val="24"/>
          <w:lang w:eastAsia="ar-SA"/>
        </w:rPr>
        <w:t>В техническом задании используются требования к объекту закупки на основании пунктов 1,2, ч.1 ст.33 44-ФЗ, связанные с организацией работы Заказчика по обеспечению инвалидов качественными изделиями и использование показателей и требований обусловлено необходимостью позиционирования технических средств реабилитации</w:t>
      </w:r>
      <w:r w:rsidRPr="00B60E1A">
        <w:rPr>
          <w:rFonts w:ascii="Calibri" w:hAnsi="Calibri" w:cs="Calibri"/>
          <w:sz w:val="24"/>
          <w:szCs w:val="24"/>
        </w:rPr>
        <w:t xml:space="preserve"> </w:t>
      </w:r>
      <w:r w:rsidRPr="00B60E1A">
        <w:rPr>
          <w:rFonts w:ascii="Times New Roman" w:hAnsi="Times New Roman" w:cs="Times New Roman"/>
          <w:sz w:val="24"/>
          <w:szCs w:val="24"/>
        </w:rPr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CD0320" w:rsidRPr="00B24612" w:rsidRDefault="00CD0320" w:rsidP="00CD0320">
      <w:pPr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CD0320" w:rsidRPr="00B24612" w:rsidRDefault="00CD0320" w:rsidP="00CD0320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4612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*ПОРЯДОК УКАЗАНИЯ ЗНАЧЕНИЯ ПОКАЗАТЕЛЕЙ УЧАСТНИКАМИ</w:t>
      </w:r>
      <w:r w:rsidRPr="001F5C51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ЗАКУПКИ: участники закупок указывают значения показателей технического задания в пределах значений показателей (минимальных, максимальных, диапазона значений), а также значений показателей, которые не подлежат изменению, в соответствии с </w:t>
      </w:r>
      <w:r w:rsidRPr="0098003D">
        <w:rPr>
          <w:rFonts w:ascii="Times New Roman" w:hAnsi="Times New Roman"/>
          <w:b/>
          <w:sz w:val="24"/>
          <w:szCs w:val="24"/>
        </w:rPr>
        <w:t>Техническ</w:t>
      </w:r>
      <w:r>
        <w:rPr>
          <w:rFonts w:ascii="Times New Roman" w:hAnsi="Times New Roman"/>
          <w:b/>
          <w:sz w:val="24"/>
          <w:szCs w:val="24"/>
          <w:lang w:val="ru-RU"/>
        </w:rPr>
        <w:t>им</w:t>
      </w:r>
      <w:r w:rsidRPr="0098003D">
        <w:rPr>
          <w:rFonts w:ascii="Times New Roman" w:hAnsi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м </w:t>
      </w:r>
      <w:r w:rsidRPr="001F5C51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Технической части.</w:t>
      </w:r>
    </w:p>
    <w:p w:rsidR="00CD0320" w:rsidRPr="00307632" w:rsidRDefault="00CD0320" w:rsidP="00CD0320">
      <w:pPr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</w:p>
    <w:p w:rsidR="00CD0320" w:rsidRPr="001F5C51" w:rsidRDefault="00CD0320" w:rsidP="00CD03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*Участники зак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упки в соответствии с частью II раздела 1</w:t>
      </w: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Технической част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и </w:t>
      </w: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настоящей документации указывают в заявке максимальные и (или) минимальные значения показателей, а также значения показателей, которые не могут изменяться.</w:t>
      </w:r>
    </w:p>
    <w:p w:rsidR="00CD0320" w:rsidRPr="001F5C51" w:rsidRDefault="00CD0320" w:rsidP="00CD0320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D0320" w:rsidRDefault="00CD0320" w:rsidP="00CD0320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D0320" w:rsidRDefault="00CD0320" w:rsidP="00CD0320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D0320" w:rsidRDefault="00CD0320" w:rsidP="00CD0320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20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320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63EDB-744D-4821-AA8A-88AFC779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D032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D0320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2018-10-10T07:45:00Z</dcterms:created>
  <dcterms:modified xsi:type="dcterms:W3CDTF">2018-10-10T07:46:00Z</dcterms:modified>
</cp:coreProperties>
</file>