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34" w:rsidRPr="00205A33" w:rsidRDefault="00C93134" w:rsidP="00C93134">
      <w:pPr>
        <w:keepNext/>
        <w:widowControl/>
        <w:tabs>
          <w:tab w:val="left" w:pos="708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3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C93134" w:rsidRPr="00205A33" w:rsidRDefault="00C93134" w:rsidP="00C93134">
      <w:pPr>
        <w:keepNext/>
        <w:widowControl/>
        <w:tabs>
          <w:tab w:val="left" w:pos="70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93134" w:rsidRDefault="00C93134" w:rsidP="00C93134">
      <w:pPr>
        <w:keepNext/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205A33">
        <w:rPr>
          <w:rFonts w:ascii="Times New Roman" w:hAnsi="Times New Roman" w:cs="Times New Roman"/>
          <w:sz w:val="24"/>
          <w:szCs w:val="22"/>
          <w:u w:val="single"/>
        </w:rPr>
        <w:t>1. Требования к качеству, техническим, функциональным характеристикам специальных средств при нарушениях функций выделения (уро - и калоприемникам), их размерам:</w:t>
      </w:r>
    </w:p>
    <w:p w:rsidR="00C93134" w:rsidRPr="00205A33" w:rsidRDefault="00C93134" w:rsidP="00C93134">
      <w:pPr>
        <w:keepNext/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205A33">
        <w:rPr>
          <w:rFonts w:ascii="Times New Roman" w:hAnsi="Times New Roman" w:cs="Times New Roman"/>
          <w:sz w:val="24"/>
          <w:szCs w:val="22"/>
        </w:rPr>
        <w:t>- специальные средства при нарушениях функций выделения (уро - и калоприемники) - это устройства, носимые на себе, предназначенные для сбора кишечного содержимого и мочи, и устранения их агрессивного воздействия на кожу;</w:t>
      </w:r>
    </w:p>
    <w:p w:rsidR="00C93134" w:rsidRDefault="00C93134" w:rsidP="00C93134">
      <w:pPr>
        <w:keepNext/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205A33">
        <w:rPr>
          <w:rFonts w:ascii="Times New Roman" w:hAnsi="Times New Roman" w:cs="Times New Roman"/>
          <w:sz w:val="24"/>
          <w:szCs w:val="22"/>
        </w:rPr>
        <w:t>- конструкция специальных средств при нарушениях функций выделения (уро - и калоприемников) должна обеспечивать пользователю удобство и простоту обращения с ними.</w:t>
      </w:r>
    </w:p>
    <w:p w:rsidR="00C93134" w:rsidRPr="00205A33" w:rsidRDefault="00C93134" w:rsidP="00C93134">
      <w:pPr>
        <w:keepNext/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205A33">
        <w:rPr>
          <w:rFonts w:ascii="Times New Roman" w:hAnsi="Times New Roman" w:cs="Times New Roman"/>
          <w:sz w:val="24"/>
          <w:szCs w:val="22"/>
        </w:rPr>
        <w:t>В специальных средствах при нарушениях функций выделения (уро - и калоприемниках) не допускаются механические повреждения (разрыв края, разрезы и т.п.), видимые невооруженным глазом.</w:t>
      </w:r>
    </w:p>
    <w:p w:rsidR="00C93134" w:rsidRPr="00205A33" w:rsidRDefault="00C93134" w:rsidP="00C9313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5A33">
        <w:rPr>
          <w:rFonts w:ascii="Times New Roman" w:hAnsi="Times New Roman" w:cs="Times New Roman"/>
          <w:sz w:val="24"/>
          <w:szCs w:val="24"/>
        </w:rPr>
        <w:t xml:space="preserve">Специальные средства при нарушениях функций выделения (моче – и калоприемники) представлены в Национальном стандарте РФ ГОСТ РИСО 9999-2014 "Вспомогательные средства для людей с ограничениями жизнедеятельности. Классификация и терминология". </w:t>
      </w:r>
    </w:p>
    <w:p w:rsidR="00C93134" w:rsidRPr="00205A33" w:rsidRDefault="00C93134" w:rsidP="00C9313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33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специальных средств, при нарушениях функций выделения должны быть разрешены к применению Министерством Здравоохранения Российской Федерации. </w:t>
      </w:r>
    </w:p>
    <w:p w:rsidR="00C93134" w:rsidRDefault="00C93134" w:rsidP="00C93134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205A33">
        <w:rPr>
          <w:rFonts w:ascii="Times New Roman" w:hAnsi="Times New Roman" w:cs="Times New Roman"/>
          <w:bCs/>
          <w:sz w:val="24"/>
          <w:szCs w:val="28"/>
        </w:rPr>
        <w:t xml:space="preserve">2. Согласно ГОСТ </w:t>
      </w:r>
      <w:r w:rsidRPr="00205A33">
        <w:rPr>
          <w:rFonts w:ascii="Times New Roman" w:hAnsi="Times New Roman" w:cs="Times New Roman"/>
          <w:bCs/>
          <w:kern w:val="36"/>
          <w:sz w:val="24"/>
          <w:szCs w:val="24"/>
        </w:rPr>
        <w:t xml:space="preserve">Р 51632-2014 Технические средства реабилитации людей с ограничениями жизнедеятельности. Общие технические требования и методы испытаний </w:t>
      </w:r>
      <w:r w:rsidRPr="00205A33">
        <w:rPr>
          <w:rFonts w:ascii="Times New Roman" w:hAnsi="Times New Roman" w:cs="Times New Roman"/>
          <w:bCs/>
          <w:sz w:val="24"/>
          <w:szCs w:val="28"/>
        </w:rPr>
        <w:t xml:space="preserve">предъявляются следующие </w:t>
      </w:r>
      <w:r w:rsidRPr="00205A33">
        <w:rPr>
          <w:rFonts w:ascii="Times New Roman" w:hAnsi="Times New Roman" w:cs="Times New Roman"/>
          <w:bCs/>
          <w:sz w:val="24"/>
          <w:szCs w:val="28"/>
          <w:u w:val="single"/>
        </w:rPr>
        <w:t>требования к упаковке</w:t>
      </w:r>
      <w:r w:rsidRPr="00205A33">
        <w:rPr>
          <w:rFonts w:ascii="Times New Roman" w:hAnsi="Times New Roman" w:cs="Times New Roman"/>
          <w:bCs/>
          <w:sz w:val="24"/>
          <w:szCs w:val="28"/>
        </w:rPr>
        <w:t>:</w:t>
      </w:r>
    </w:p>
    <w:p w:rsidR="00C93134" w:rsidRPr="00205A33" w:rsidRDefault="00C93134" w:rsidP="00C93134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205A33">
        <w:rPr>
          <w:rFonts w:ascii="Times New Roman" w:hAnsi="Times New Roman" w:cs="Times New Roman"/>
          <w:sz w:val="24"/>
          <w:szCs w:val="24"/>
        </w:rPr>
        <w:t>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C93134" w:rsidRDefault="00C93134" w:rsidP="00C9313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5A33">
        <w:rPr>
          <w:rFonts w:ascii="Times New Roman" w:hAnsi="Times New Roman" w:cs="Times New Roman"/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C93134" w:rsidRPr="00205A33" w:rsidRDefault="00C93134" w:rsidP="00C9313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1954"/>
        <w:gridCol w:w="3572"/>
        <w:gridCol w:w="1701"/>
        <w:gridCol w:w="1701"/>
      </w:tblGrid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72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Начальная (максимальная) цена за шт. товара</w:t>
            </w:r>
          </w:p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Количество, шт.</w:t>
            </w:r>
            <w:bookmarkStart w:id="0" w:name="_GoBack"/>
            <w:bookmarkEnd w:id="0"/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4" w:type="dxa"/>
            <w:vAlign w:val="center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2" w:type="dxa"/>
            <w:vAlign w:val="center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Align w:val="center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5.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  <w:lang w:eastAsia="ar-SA"/>
              </w:rPr>
            </w:pPr>
            <w:r w:rsidRPr="00205A33">
              <w:rPr>
                <w:rFonts w:ascii="Times New Roman" w:hAnsi="Times New Roman" w:cs="Times New Roman"/>
                <w:lang w:eastAsia="ar-SA"/>
              </w:rPr>
              <w:t>Калоприемник состоит из: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 - дренируемый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мешок неразъемный из непрозрачного (или прозрачного) многослойного, не пропускающего запах полиэтилена, с мягкой нетканой подложкой, с зажимом.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- встроенная гибкая легко наклеивающаяся и отклеивающаяся адгезивная пластина на натуральной,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максимальным отверстием, вырезаемым под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не менее 60 мм. Не должна вызывать механического повреждения кожи при отклеивании. 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48,32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30000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Однокомпонентный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</w:t>
            </w:r>
            <w:r w:rsidRPr="00205A33">
              <w:rPr>
                <w:rFonts w:ascii="Times New Roman" w:hAnsi="Times New Roman" w:cs="Times New Roman"/>
              </w:rPr>
              <w:lastRenderedPageBreak/>
              <w:t>калоприемник со встроенной плоской пластиной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>Калоприемник состоит из: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мешок </w:t>
            </w:r>
            <w:r w:rsidRPr="00205A33">
              <w:rPr>
                <w:rFonts w:ascii="Times New Roman" w:hAnsi="Times New Roman" w:cs="Times New Roman"/>
              </w:rPr>
              <w:lastRenderedPageBreak/>
              <w:t>неразъемный из непрозрачного (или прозрачного) многослойного, не пропускающего запах полиэтилена, с мягкой нетканой подложкой, с обязательным наличием фильтра;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-встроенная гибкая круглая или овальная легко наклеивающаяся и отклеивающаяся адгезивная пластина на натуральной,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205A33">
              <w:rPr>
                <w:rFonts w:ascii="Times New Roman" w:hAnsi="Times New Roman" w:cs="Times New Roman"/>
              </w:rPr>
              <w:t>. Не должна вызывать механического повреждения кожи при отклеивании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>53,59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2220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54" w:type="dxa"/>
            <w:vMerge w:val="restart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Двухкомпонентный дренируемый калоприемник в комплекте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205A33">
              <w:rPr>
                <w:rFonts w:ascii="Times New Roman" w:eastAsia="Arial" w:hAnsi="Times New Roman" w:cs="Times New Roman"/>
                <w:lang w:eastAsia="ar-SA"/>
              </w:rPr>
              <w:t>- адгезивная пластина, плоская.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Гибкая легко наклеивающаяся и отклеивающаяся адгезивная пластина с клеевым слоем на натуральной, </w:t>
            </w:r>
            <w:proofErr w:type="spellStart"/>
            <w:r w:rsidRPr="00205A33">
              <w:rPr>
                <w:rFonts w:ascii="Times New Roman" w:eastAsia="Arial" w:hAnsi="Times New Roman" w:cs="Times New Roman"/>
                <w:lang w:eastAsia="ar-SA"/>
              </w:rPr>
              <w:t>гипоаллергенной</w:t>
            </w:r>
            <w:proofErr w:type="spellEnd"/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05A33">
              <w:rPr>
                <w:rFonts w:ascii="Times New Roman" w:eastAsia="Arial" w:hAnsi="Times New Roman" w:cs="Times New Roman"/>
                <w:lang w:eastAsia="ar-SA"/>
              </w:rPr>
              <w:t>стому</w:t>
            </w:r>
            <w:proofErr w:type="spellEnd"/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, с фланцем для крепления </w:t>
            </w:r>
            <w:proofErr w:type="gramStart"/>
            <w:r w:rsidRPr="00205A33">
              <w:rPr>
                <w:rFonts w:ascii="Times New Roman" w:eastAsia="Arial" w:hAnsi="Times New Roman" w:cs="Times New Roman"/>
                <w:lang w:eastAsia="ar-SA"/>
              </w:rPr>
              <w:t>мешка,  соответствующим</w:t>
            </w:r>
            <w:proofErr w:type="gramEnd"/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 фланцу мешка. Не должна вызывать механического повреждения кожи при отклеивании</w:t>
            </w:r>
            <w:r w:rsidRPr="00205A33">
              <w:rPr>
                <w:rFonts w:ascii="Times New Roman" w:hAnsi="Times New Roman" w:cs="Times New Roman"/>
              </w:rPr>
              <w:t xml:space="preserve">. </w:t>
            </w:r>
          </w:p>
          <w:p w:rsidR="00C93134" w:rsidRPr="00205A33" w:rsidRDefault="00C93134" w:rsidP="00F40223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205A33">
              <w:rPr>
                <w:rFonts w:ascii="Times New Roman" w:eastAsia="Arial" w:hAnsi="Times New Roman" w:cs="Times New Roman"/>
                <w:lang w:eastAsia="ar-SA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56,23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450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4" w:type="dxa"/>
            <w:vMerge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- мешок дренируемый.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, дренируемый из непрозрачного (или прозрачного)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Не менее 3 типоразмеров, максимальный типоразмер не менее 70 мм.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47,88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1350</w:t>
            </w:r>
          </w:p>
        </w:tc>
      </w:tr>
      <w:tr w:rsidR="00C93134" w:rsidRPr="00205A33" w:rsidTr="00A6090C">
        <w:trPr>
          <w:trHeight w:val="2733"/>
        </w:trPr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4" w:type="dxa"/>
            <w:vMerge w:val="restart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калоприемник в комплекте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- адгезивная пластина, </w:t>
            </w:r>
            <w:proofErr w:type="gramStart"/>
            <w:r w:rsidRPr="00205A33">
              <w:rPr>
                <w:rFonts w:ascii="Times New Roman" w:eastAsia="Arial" w:hAnsi="Times New Roman" w:cs="Times New Roman"/>
                <w:lang w:eastAsia="ar-SA"/>
              </w:rPr>
              <w:t>плоская..</w:t>
            </w:r>
            <w:proofErr w:type="gramEnd"/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Гибкая легко наклеивающаяся и отклеивающаяся адгезивная пластина с клеевым слоем на натуральной, </w:t>
            </w:r>
            <w:proofErr w:type="spellStart"/>
            <w:r w:rsidRPr="00205A33">
              <w:rPr>
                <w:rFonts w:ascii="Times New Roman" w:eastAsia="Arial" w:hAnsi="Times New Roman" w:cs="Times New Roman"/>
                <w:lang w:eastAsia="ar-SA"/>
              </w:rPr>
              <w:t>гипоаллергенной</w:t>
            </w:r>
            <w:proofErr w:type="spellEnd"/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05A33">
              <w:rPr>
                <w:rFonts w:ascii="Times New Roman" w:eastAsia="Arial" w:hAnsi="Times New Roman" w:cs="Times New Roman"/>
                <w:lang w:eastAsia="ar-SA"/>
              </w:rPr>
              <w:t>стому</w:t>
            </w:r>
            <w:proofErr w:type="spellEnd"/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, с фланцем для крепления </w:t>
            </w:r>
            <w:proofErr w:type="gramStart"/>
            <w:r w:rsidRPr="00205A33">
              <w:rPr>
                <w:rFonts w:ascii="Times New Roman" w:eastAsia="Arial" w:hAnsi="Times New Roman" w:cs="Times New Roman"/>
                <w:lang w:eastAsia="ar-SA"/>
              </w:rPr>
              <w:t>мешка,  соответствующим</w:t>
            </w:r>
            <w:proofErr w:type="gramEnd"/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 фланцу мешка. Не должна вызывать механического повреждения кожи при отклеивании</w:t>
            </w:r>
            <w:r w:rsidRPr="00205A33">
              <w:rPr>
                <w:rFonts w:ascii="Times New Roman" w:hAnsi="Times New Roman" w:cs="Times New Roman"/>
              </w:rPr>
              <w:t xml:space="preserve">. 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64,98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60</w:t>
            </w:r>
          </w:p>
        </w:tc>
      </w:tr>
      <w:tr w:rsidR="00C93134" w:rsidRPr="00205A33" w:rsidTr="00A6090C">
        <w:trPr>
          <w:trHeight w:val="1283"/>
        </w:trPr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4" w:type="dxa"/>
            <w:vMerge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- мешок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205A33">
              <w:rPr>
                <w:rFonts w:ascii="Times New Roman" w:hAnsi="Times New Roman" w:cs="Times New Roman"/>
              </w:rPr>
              <w:t>.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из непрозрачного (или прозрачного) многослойного, не пропускающего запах полиэтилена, с мягкой нетканой подложкой, с газовым фильтром, фланцем для крепления мешка к </w:t>
            </w:r>
            <w:r w:rsidRPr="00205A33">
              <w:rPr>
                <w:rFonts w:ascii="Times New Roman" w:hAnsi="Times New Roman" w:cs="Times New Roman"/>
              </w:rPr>
              <w:lastRenderedPageBreak/>
              <w:t>пластине, соответствующим фланцу пластины.  Не менее 3 типоразмеров, максимальный типоразмер не менее 70 мм.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>46,20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360</w:t>
            </w:r>
          </w:p>
        </w:tc>
      </w:tr>
      <w:tr w:rsidR="00C93134" w:rsidRPr="00205A33" w:rsidTr="00A6090C">
        <w:trPr>
          <w:trHeight w:val="1283"/>
        </w:trPr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54" w:type="dxa"/>
            <w:vMerge w:val="restart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Двухкомпонентный дренируемый калоприемник для втянутых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в комплекте 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205A33">
              <w:rPr>
                <w:rFonts w:ascii="Times New Roman" w:eastAsia="Arial" w:hAnsi="Times New Roman" w:cs="Times New Roman"/>
                <w:lang w:eastAsia="ar-SA"/>
              </w:rPr>
              <w:t xml:space="preserve">- адгезивная пластина, </w:t>
            </w:r>
            <w:proofErr w:type="spellStart"/>
            <w:r w:rsidRPr="00205A33">
              <w:rPr>
                <w:rFonts w:ascii="Times New Roman" w:eastAsia="Arial" w:hAnsi="Times New Roman" w:cs="Times New Roman"/>
                <w:lang w:eastAsia="ar-SA"/>
              </w:rPr>
              <w:t>конвексная</w:t>
            </w:r>
            <w:proofErr w:type="spellEnd"/>
            <w:r w:rsidRPr="00205A33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  <w:lang w:eastAsia="en-US"/>
              </w:rPr>
            </w:pPr>
            <w:r w:rsidRPr="00205A33">
              <w:rPr>
                <w:rFonts w:ascii="Times New Roman" w:hAnsi="Times New Roman" w:cs="Times New Roman"/>
                <w:lang w:eastAsia="en-US"/>
              </w:rPr>
              <w:t xml:space="preserve">Гибкая легко наклеивающаяся и отклеивающаяся адгезивная пластина с клеевым слоем на натуральной, </w:t>
            </w:r>
            <w:proofErr w:type="spellStart"/>
            <w:r w:rsidRPr="00205A33">
              <w:rPr>
                <w:rFonts w:ascii="Times New Roman" w:hAnsi="Times New Roman" w:cs="Times New Roman"/>
                <w:lang w:eastAsia="en-US"/>
              </w:rPr>
              <w:t>гипоаллергенной</w:t>
            </w:r>
            <w:proofErr w:type="spellEnd"/>
            <w:r w:rsidRPr="00205A33">
              <w:rPr>
                <w:rFonts w:ascii="Times New Roman" w:hAnsi="Times New Roman" w:cs="Times New Roman"/>
                <w:lang w:eastAsia="en-US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05A33">
              <w:rPr>
                <w:rFonts w:ascii="Times New Roman" w:hAnsi="Times New Roman" w:cs="Times New Roman"/>
                <w:lang w:eastAsia="en-US"/>
              </w:rPr>
              <w:t>стому</w:t>
            </w:r>
            <w:proofErr w:type="spellEnd"/>
            <w:r w:rsidRPr="00205A33">
              <w:rPr>
                <w:rFonts w:ascii="Times New Roman" w:hAnsi="Times New Roman" w:cs="Times New Roman"/>
                <w:lang w:eastAsia="en-US"/>
              </w:rPr>
              <w:t xml:space="preserve">, с фланцем для крепления </w:t>
            </w:r>
            <w:proofErr w:type="gramStart"/>
            <w:r w:rsidRPr="00205A33">
              <w:rPr>
                <w:rFonts w:ascii="Times New Roman" w:hAnsi="Times New Roman" w:cs="Times New Roman"/>
                <w:lang w:eastAsia="en-US"/>
              </w:rPr>
              <w:t>мешка,  соответствующим</w:t>
            </w:r>
            <w:proofErr w:type="gramEnd"/>
            <w:r w:rsidRPr="00205A33">
              <w:rPr>
                <w:rFonts w:ascii="Times New Roman" w:hAnsi="Times New Roman" w:cs="Times New Roman"/>
                <w:lang w:eastAsia="en-US"/>
              </w:rPr>
              <w:t xml:space="preserve"> фланцу мешка. </w:t>
            </w:r>
            <w:proofErr w:type="gramStart"/>
            <w:r w:rsidRPr="00205A33">
              <w:rPr>
                <w:rFonts w:ascii="Times New Roman" w:hAnsi="Times New Roman" w:cs="Times New Roman"/>
                <w:lang w:eastAsia="en-US"/>
              </w:rPr>
              <w:t>Не  должна</w:t>
            </w:r>
            <w:proofErr w:type="gramEnd"/>
            <w:r w:rsidRPr="00205A33">
              <w:rPr>
                <w:rFonts w:ascii="Times New Roman" w:hAnsi="Times New Roman" w:cs="Times New Roman"/>
                <w:lang w:eastAsia="en-US"/>
              </w:rPr>
              <w:t xml:space="preserve"> вызывать механического повреждения кожи при отклеивании. 3 типоразмера по диаметру фланца для крепления мешка, максимальный типоразмер 70 мм.</w:t>
            </w:r>
          </w:p>
          <w:p w:rsidR="00C93134" w:rsidRPr="00205A33" w:rsidRDefault="00C93134" w:rsidP="00F40223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111,15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60</w:t>
            </w:r>
          </w:p>
        </w:tc>
      </w:tr>
      <w:tr w:rsidR="00C93134" w:rsidRPr="00205A33" w:rsidTr="00A6090C">
        <w:trPr>
          <w:trHeight w:val="1283"/>
        </w:trPr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4" w:type="dxa"/>
            <w:vMerge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- мешок дренируемый.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, дренируемый из непрозрачного (или прозрачного)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Не менее 3 типоразмеров, максимальный типоразмер не менее 70 мм.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55,93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180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  <w:color w:val="000000"/>
              </w:rPr>
              <w:t>Анальный тампон (средство ухода при недержании кала)</w:t>
            </w: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Анальные тампоны предназначены для инвалидов с непроизвольным опорожнением кишечника, неконтролируемым отхождением газов, изготовлен из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полиуриетана</w:t>
            </w:r>
            <w:proofErr w:type="spellEnd"/>
            <w:r w:rsidRPr="00205A33">
              <w:rPr>
                <w:rFonts w:ascii="Times New Roman" w:hAnsi="Times New Roman" w:cs="Times New Roman"/>
              </w:rPr>
              <w:t>, покрыт растворимой пленкой. Шнур для удаления тампона – из хлопка. В индивидуальной упаковке. Должно быть 2 типоразмера (диаметр утолщения 37 и 45 мм).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167,39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958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Паста-герметик для защиты и выравнивания кожи вокруг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в тубе</w:t>
            </w: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Консистенция пасты - гладкая, однородная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мазеподобная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масса. Паста при заполнении зазоров между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перистомальную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кожу, что делает более продолжительным период ношения калоприемника. Объем одного тюбика должен быть не менее 60 гр. Паста должна быть сделана на основе гидроколлоидного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адгезива</w:t>
            </w:r>
            <w:proofErr w:type="spellEnd"/>
            <w:r w:rsidRPr="00205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234,35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670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Паста-герметик для защиты и выравнивания кожи </w:t>
            </w:r>
            <w:r w:rsidRPr="00205A33">
              <w:rPr>
                <w:rFonts w:ascii="Times New Roman" w:hAnsi="Times New Roman" w:cs="Times New Roman"/>
              </w:rPr>
              <w:lastRenderedPageBreak/>
              <w:t xml:space="preserve">вокруг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в полосках</w:t>
            </w: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 xml:space="preserve">Применяется для заполнения полостей, складок на коже, защиты кожи от раздражения или как </w:t>
            </w:r>
            <w:r w:rsidRPr="00205A33">
              <w:rPr>
                <w:rFonts w:ascii="Times New Roman" w:hAnsi="Times New Roman" w:cs="Times New Roman"/>
              </w:rPr>
              <w:lastRenderedPageBreak/>
              <w:t>дополнительное средство герметизации.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Паста при заполнении зазоров между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>431,32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5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Пудра (порошок) абсорбирующая в тубе 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Применяется для ухода </w:t>
            </w:r>
            <w:proofErr w:type="gramStart"/>
            <w:r w:rsidRPr="00205A33"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мацерированной</w:t>
            </w:r>
            <w:proofErr w:type="spellEnd"/>
            <w:proofErr w:type="gramEnd"/>
            <w:r w:rsidRPr="00205A33">
              <w:rPr>
                <w:rFonts w:ascii="Times New Roman" w:hAnsi="Times New Roman" w:cs="Times New Roman"/>
              </w:rPr>
              <w:t xml:space="preserve"> кожей, устранения осложнений и раздражений кожи в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перистомальной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области- обладает рассыпчатой консистенцией.  Порошок должен наноситься на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перистомальную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, а также более длительному ношению калоприемника. Объем одного тюбика должен быть не менее 25 гр. Порошок (пудра) состоит из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гидроколлоидов</w:t>
            </w:r>
            <w:proofErr w:type="spellEnd"/>
            <w:r w:rsidRPr="00205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170,07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210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Крем защитный в тубе 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Консистенция - гладкая, однородная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мазеподобная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масса. Должна обладать заживляющим эффектом. Должна наноситься на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перистомальну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кожу на 15-20 мин. Объем одного тюбика должен быть не менее 60 мл. 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170,19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680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Защитная пленка в форме салфеток</w:t>
            </w: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Применяется для кожи вокруг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– мягкие, нетканые целлюлозные салфетки, пропитанные защитным раствором. Этот раствор должен быстро испаряться и образовывать на коже защитную пленку. Создавшаяся пленка должна создавать защитный барьер между кожей и адгезивной пластиной.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13,76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17000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Защитная пленка во флаконе</w:t>
            </w: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Применяется для кожи вокруг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–средство для защиты кожи вокруг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205A33">
              <w:rPr>
                <w:rFonts w:ascii="Times New Roman" w:hAnsi="Times New Roman" w:cs="Times New Roman"/>
              </w:rPr>
              <w:t>перистомальной</w:t>
            </w:r>
            <w:proofErr w:type="spellEnd"/>
            <w:r w:rsidRPr="00205A33">
              <w:rPr>
                <w:rFonts w:ascii="Times New Roman" w:hAnsi="Times New Roman" w:cs="Times New Roman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301,21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13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Очиститель для </w:t>
            </w:r>
            <w:r w:rsidRPr="00205A33">
              <w:rPr>
                <w:rFonts w:ascii="Times New Roman" w:hAnsi="Times New Roman" w:cs="Times New Roman"/>
              </w:rPr>
              <w:lastRenderedPageBreak/>
              <w:t xml:space="preserve">кожи в форме салфеток 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 xml:space="preserve">Очищающее средство, заменяющее </w:t>
            </w:r>
            <w:r w:rsidRPr="00205A33">
              <w:rPr>
                <w:rFonts w:ascii="Times New Roman" w:hAnsi="Times New Roman" w:cs="Times New Roman"/>
              </w:rPr>
              <w:lastRenderedPageBreak/>
              <w:t xml:space="preserve">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05A33">
              <w:rPr>
                <w:rFonts w:ascii="Times New Roman" w:hAnsi="Times New Roman" w:cs="Times New Roman"/>
              </w:rPr>
              <w:t>. 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>12,86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600</w:t>
            </w:r>
          </w:p>
        </w:tc>
      </w:tr>
      <w:tr w:rsidR="00C93134" w:rsidRPr="00205A33" w:rsidTr="00A6090C">
        <w:trPr>
          <w:trHeight w:val="1510"/>
        </w:trPr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Очиститель для кожи во флаконе</w:t>
            </w: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05A33">
              <w:rPr>
                <w:rFonts w:ascii="Times New Roman" w:hAnsi="Times New Roman" w:cs="Times New Roman"/>
              </w:rPr>
              <w:t>. Поставляется во флаконах объемом не менее 180 мл.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164,60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700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Нейтрализатор запаха во флаконе</w:t>
            </w:r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Нейтрализует (устраняет) запах при его образовании. Поставляется во флаконах не менее 50 мл.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240,93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160</w:t>
            </w:r>
          </w:p>
        </w:tc>
      </w:tr>
      <w:tr w:rsidR="00C93134" w:rsidRPr="00205A33" w:rsidTr="00A6090C">
        <w:tc>
          <w:tcPr>
            <w:tcW w:w="740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54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 xml:space="preserve">Пояс для калоприемников и </w:t>
            </w:r>
            <w:proofErr w:type="spellStart"/>
            <w:r w:rsidRPr="00205A33">
              <w:rPr>
                <w:rFonts w:ascii="Times New Roman" w:hAnsi="Times New Roman" w:cs="Times New Roman"/>
              </w:rPr>
              <w:t>уроприемников</w:t>
            </w:r>
            <w:proofErr w:type="spellEnd"/>
          </w:p>
        </w:tc>
        <w:tc>
          <w:tcPr>
            <w:tcW w:w="3572" w:type="dxa"/>
          </w:tcPr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Применяется для дополнительной фиксации калоприемника/</w:t>
            </w:r>
            <w:proofErr w:type="spellStart"/>
            <w:r w:rsidRPr="00205A33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205A33">
              <w:rPr>
                <w:rFonts w:ascii="Times New Roman" w:hAnsi="Times New Roman" w:cs="Times New Roman"/>
              </w:rPr>
              <w:t>. Пояс должен обеспечивать дополнительную надежность и увеличивает время ношения калоприемника/</w:t>
            </w:r>
            <w:proofErr w:type="spellStart"/>
            <w:r w:rsidRPr="00205A33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205A33">
              <w:rPr>
                <w:rFonts w:ascii="Times New Roman" w:hAnsi="Times New Roman" w:cs="Times New Roman"/>
              </w:rPr>
              <w:t>.</w:t>
            </w:r>
          </w:p>
          <w:p w:rsidR="00C93134" w:rsidRPr="00205A33" w:rsidRDefault="00C93134" w:rsidP="00F40223">
            <w:pPr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Пояс должен изготавливаться из натуральных материалов. Пояс должен быть гибким и комфортным при ношении. Длина пояса должна легко регулироваться.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174,77</w:t>
            </w:r>
          </w:p>
        </w:tc>
        <w:tc>
          <w:tcPr>
            <w:tcW w:w="1701" w:type="dxa"/>
          </w:tcPr>
          <w:p w:rsidR="00C93134" w:rsidRPr="00205A33" w:rsidRDefault="00C93134" w:rsidP="00F40223">
            <w:pPr>
              <w:jc w:val="center"/>
              <w:rPr>
                <w:rFonts w:ascii="Times New Roman" w:hAnsi="Times New Roman" w:cs="Times New Roman"/>
              </w:rPr>
            </w:pPr>
            <w:r w:rsidRPr="00205A33">
              <w:rPr>
                <w:rFonts w:ascii="Times New Roman" w:hAnsi="Times New Roman" w:cs="Times New Roman"/>
              </w:rPr>
              <w:t>29</w:t>
            </w:r>
          </w:p>
        </w:tc>
      </w:tr>
      <w:tr w:rsidR="00C93134" w:rsidRPr="00205A33" w:rsidTr="00A6090C">
        <w:tc>
          <w:tcPr>
            <w:tcW w:w="9668" w:type="dxa"/>
            <w:gridSpan w:val="5"/>
          </w:tcPr>
          <w:p w:rsidR="00C93134" w:rsidRPr="00FD3F9A" w:rsidRDefault="00C93134" w:rsidP="00F40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F9A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  <w:r w:rsidRPr="00205A33">
              <w:rPr>
                <w:rFonts w:ascii="Times New Roman" w:hAnsi="Times New Roman" w:cs="Times New Roman"/>
                <w:sz w:val="22"/>
                <w:szCs w:val="22"/>
              </w:rPr>
              <w:t xml:space="preserve">55705 шт., </w:t>
            </w:r>
            <w:r w:rsidRPr="00FD3F9A"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(максимальная) цена </w:t>
            </w:r>
            <w:r w:rsidRPr="00205A33">
              <w:rPr>
                <w:rFonts w:ascii="Times New Roman" w:hAnsi="Times New Roman" w:cs="Times New Roman"/>
                <w:sz w:val="22"/>
                <w:szCs w:val="22"/>
              </w:rPr>
              <w:t>2 571 141 руб. 98 коп.</w:t>
            </w:r>
          </w:p>
        </w:tc>
      </w:tr>
    </w:tbl>
    <w:p w:rsidR="00C93134" w:rsidRPr="00205A33" w:rsidRDefault="00C93134" w:rsidP="00C9313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A33">
        <w:rPr>
          <w:rFonts w:ascii="Times New Roman" w:hAnsi="Times New Roman" w:cs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пунктов 1,2, ч.1 ст.33 44-ФЗ, связанные с организацией работы Заказчика по обеспечению инвалидов качественными изделиями и использование показателей и требований обусловлено необходимостью позиционирования технических средств реабилитации</w:t>
      </w:r>
      <w:r w:rsidRPr="00205A33">
        <w:rPr>
          <w:rFonts w:ascii="Calibri" w:hAnsi="Calibri" w:cs="Calibri"/>
          <w:sz w:val="24"/>
          <w:szCs w:val="24"/>
        </w:rPr>
        <w:t xml:space="preserve"> </w:t>
      </w:r>
      <w:r w:rsidRPr="00205A33">
        <w:rPr>
          <w:rFonts w:ascii="Times New Roman" w:hAnsi="Times New Roman" w:cs="Times New Roman"/>
          <w:sz w:val="24"/>
          <w:szCs w:val="24"/>
        </w:rPr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C93134" w:rsidRPr="00205A33" w:rsidRDefault="00C93134" w:rsidP="00C931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5A33">
        <w:rPr>
          <w:rFonts w:ascii="Times New Roman" w:hAnsi="Times New Roman" w:cs="Times New Roman"/>
          <w:sz w:val="22"/>
          <w:szCs w:val="22"/>
          <w:lang w:eastAsia="ar-SA"/>
        </w:rPr>
        <w:t xml:space="preserve">В соответствии с </w:t>
      </w:r>
      <w:hyperlink r:id="rId4" w:history="1">
        <w:r w:rsidRPr="00205A33">
          <w:rPr>
            <w:rFonts w:ascii="Times New Roman" w:hAnsi="Times New Roman" w:cs="Times New Roman"/>
            <w:color w:val="0000FF"/>
            <w:sz w:val="22"/>
            <w:szCs w:val="22"/>
            <w:lang w:eastAsia="ar-SA"/>
          </w:rPr>
          <w:t>пунктом 15.1</w:t>
        </w:r>
      </w:hyperlink>
      <w:r w:rsidRPr="00205A33">
        <w:rPr>
          <w:rFonts w:ascii="Times New Roman" w:hAnsi="Times New Roman" w:cs="Times New Roman"/>
          <w:sz w:val="22"/>
          <w:szCs w:val="22"/>
          <w:lang w:eastAsia="ar-SA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</w:r>
      <w:r w:rsidRPr="00205A33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, </w:t>
      </w:r>
      <w:r w:rsidRPr="00205A33">
        <w:rPr>
          <w:rFonts w:ascii="Times New Roman" w:hAnsi="Times New Roman" w:cs="Times New Roman"/>
          <w:sz w:val="22"/>
          <w:szCs w:val="22"/>
          <w:lang w:eastAsia="ar-SA"/>
        </w:rPr>
        <w:t xml:space="preserve">Приказом Министерства Труда и социальной защиты от 13.02.2018 г. № 86н утверждена </w:t>
      </w:r>
      <w:hyperlink w:anchor="P38" w:history="1">
        <w:r w:rsidRPr="00205A33">
          <w:rPr>
            <w:rFonts w:ascii="Times New Roman" w:hAnsi="Times New Roman" w:cs="Times New Roman"/>
            <w:color w:val="0000FF"/>
            <w:sz w:val="22"/>
            <w:szCs w:val="22"/>
            <w:lang w:eastAsia="ar-SA"/>
          </w:rPr>
          <w:t>классификаци</w:t>
        </w:r>
      </w:hyperlink>
      <w:r w:rsidRPr="00205A33">
        <w:rPr>
          <w:rFonts w:ascii="Times New Roman" w:hAnsi="Times New Roman" w:cs="Times New Roman"/>
          <w:color w:val="0000FF"/>
          <w:sz w:val="22"/>
          <w:szCs w:val="22"/>
          <w:lang w:eastAsia="ar-SA"/>
        </w:rPr>
        <w:t>я</w:t>
      </w:r>
      <w:r w:rsidRPr="00205A33">
        <w:rPr>
          <w:rFonts w:ascii="Times New Roman" w:hAnsi="Times New Roman" w:cs="Times New Roman"/>
          <w:sz w:val="22"/>
          <w:szCs w:val="22"/>
          <w:lang w:eastAsia="ar-SA"/>
        </w:rP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Наименование товара указано в соответствии с вышеуказанной классификацией и рекомендациями в ИПРА инвалидов.</w:t>
      </w:r>
    </w:p>
    <w:p w:rsidR="00C93134" w:rsidRPr="00B24612" w:rsidRDefault="00C93134" w:rsidP="00C93134">
      <w:pPr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C93134" w:rsidRPr="00B24612" w:rsidRDefault="00C93134" w:rsidP="00C93134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612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*ПОРЯДОК УКАЗАНИЯ ЗНАЧЕНИЯ ПОКАЗАТЕЛЕЙ УЧАСТНИКАМИ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ЗАКУПКИ: участники закупок указывают значения показателей технического задания в пределах значений показателей (минимальных, максимальных, диапазона 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lastRenderedPageBreak/>
        <w:t xml:space="preserve">значений), а также значений показателей, которые не подлежат изменению, в соответствии с </w:t>
      </w:r>
      <w:r w:rsidRPr="0098003D">
        <w:rPr>
          <w:rFonts w:ascii="Times New Roman" w:hAnsi="Times New Roman"/>
          <w:b/>
          <w:sz w:val="24"/>
          <w:szCs w:val="24"/>
        </w:rPr>
        <w:t>Техническ</w:t>
      </w:r>
      <w:r>
        <w:rPr>
          <w:rFonts w:ascii="Times New Roman" w:hAnsi="Times New Roman"/>
          <w:b/>
          <w:sz w:val="24"/>
          <w:szCs w:val="24"/>
          <w:lang w:val="ru-RU"/>
        </w:rPr>
        <w:t>им</w:t>
      </w:r>
      <w:r w:rsidRPr="0098003D">
        <w:rPr>
          <w:rFonts w:ascii="Times New Roman" w:hAnsi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 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Технической части.</w:t>
      </w:r>
    </w:p>
    <w:p w:rsidR="00C93134" w:rsidRPr="00307632" w:rsidRDefault="00C93134" w:rsidP="00C93134">
      <w:pPr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C93134" w:rsidRPr="001F5C51" w:rsidRDefault="00C93134" w:rsidP="00C931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*Участники зак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упки в соответствии с частью II раздела 1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Технической част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и 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настоящей документации указывают в заявке максимальные и (или) минимальные значения показателей, а также значения показателей, которые не могут изменяться.</w:t>
      </w:r>
    </w:p>
    <w:p w:rsidR="00C93134" w:rsidRPr="001F5C51" w:rsidRDefault="00C93134" w:rsidP="00C93134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93134" w:rsidRDefault="00C93134" w:rsidP="00C93134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93134" w:rsidRDefault="00C93134" w:rsidP="00C93134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93134" w:rsidRDefault="00C93134" w:rsidP="00C93134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93134" w:rsidRDefault="00C93134" w:rsidP="00C93134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93134" w:rsidRDefault="00C93134" w:rsidP="00C93134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93134" w:rsidRDefault="00C93134" w:rsidP="00C93134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93134" w:rsidRDefault="00C93134" w:rsidP="00C93134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93134" w:rsidRDefault="00C93134" w:rsidP="00C93134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34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90C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134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10A6-6D6B-4EA9-9387-13387746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9313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9313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2</cp:revision>
  <dcterms:created xsi:type="dcterms:W3CDTF">2018-10-10T07:10:00Z</dcterms:created>
  <dcterms:modified xsi:type="dcterms:W3CDTF">2018-10-10T07:21:00Z</dcterms:modified>
</cp:coreProperties>
</file>