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3F6A54" w:rsidRPr="003F6A54" w:rsidRDefault="003F6A54" w:rsidP="003F6A54">
      <w:pPr>
        <w:jc w:val="center"/>
        <w:rPr>
          <w:b/>
          <w:color w:val="000000"/>
        </w:rPr>
      </w:pPr>
      <w:r w:rsidRPr="003F6A54">
        <w:rPr>
          <w:b/>
          <w:color w:val="000000"/>
        </w:rPr>
        <w:t>Инструменты и оборудование медицинские. Выполнение работ по изготовлению протезов для инвалидов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3B5791" w:rsidRDefault="00A90EA1" w:rsidP="00457915">
      <w:pPr>
        <w:ind w:firstLine="708"/>
        <w:jc w:val="both"/>
      </w:pPr>
      <w:r>
        <w:t>Протез</w:t>
      </w:r>
      <w:r w:rsidR="00A4007D">
        <w:t>ы нижних конечностей</w:t>
      </w:r>
      <w:r>
        <w:t xml:space="preserve">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r w:rsidR="003B334A" w:rsidRPr="007C278C">
        <w:t>протезирование</w:t>
      </w:r>
      <w:r w:rsidR="003B5791" w:rsidRPr="007C278C">
        <w:t xml:space="preserve"> </w:t>
      </w:r>
      <w:r w:rsidR="003B5791">
        <w:t xml:space="preserve">верхних и нижних </w:t>
      </w:r>
      <w:r w:rsidR="003B5791" w:rsidRPr="007C278C">
        <w:t>конечностей</w:t>
      </w:r>
      <w:r w:rsidR="003B5791">
        <w:t>. Термины и определения</w:t>
      </w:r>
      <w:r w:rsidR="003B5791" w:rsidRPr="007C278C">
        <w:t>"</w:t>
      </w:r>
    </w:p>
    <w:p w:rsidR="007F2787" w:rsidRPr="007C278C" w:rsidRDefault="007F2787"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3B334A" w:rsidRDefault="003B334A" w:rsidP="003B334A">
      <w:pPr>
        <w:pStyle w:val="text"/>
        <w:widowControl w:val="0"/>
        <w:suppressAutoHyphens/>
        <w:ind w:left="0" w:right="0" w:firstLine="709"/>
        <w:jc w:val="both"/>
        <w:rPr>
          <w:rFonts w:ascii="Times New Roman" w:hAnsi="Times New Roman" w:cs="Times New Roman"/>
          <w:sz w:val="24"/>
          <w:szCs w:val="24"/>
        </w:rPr>
      </w:pPr>
      <w:r w:rsidRPr="003B334A">
        <w:rPr>
          <w:rFonts w:ascii="Times New Roman" w:hAnsi="Times New Roman" w:cs="Times New Roman"/>
          <w:sz w:val="24"/>
          <w:szCs w:val="24"/>
        </w:rP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3B5791" w:rsidRPr="003B334A">
          <w:rPr>
            <w:rFonts w:ascii="Times New Roman" w:hAnsi="Times New Roman" w:cs="Times New Roman"/>
            <w:sz w:val="24"/>
            <w:szCs w:val="24"/>
          </w:rPr>
          <w:t>ГОСТ Р 52770-20</w:t>
        </w:r>
      </w:hyperlink>
      <w:r w:rsidR="003F6A54">
        <w:rPr>
          <w:rFonts w:ascii="Times New Roman" w:hAnsi="Times New Roman" w:cs="Times New Roman"/>
          <w:sz w:val="24"/>
          <w:szCs w:val="24"/>
        </w:rPr>
        <w:t>16</w:t>
      </w:r>
      <w:r w:rsidR="003B5791" w:rsidRPr="003B334A">
        <w:rPr>
          <w:rFonts w:ascii="Times New Roman" w:hAnsi="Times New Roman" w:cs="Times New Roman"/>
          <w:sz w:val="24"/>
          <w:szCs w:val="24"/>
        </w:rPr>
        <w:t xml:space="preserve"> </w:t>
      </w:r>
      <w:hyperlink r:id="rId8" w:history="1">
        <w:r w:rsidR="003B5791" w:rsidRPr="003B334A">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3B5791" w:rsidRPr="003B334A">
        <w:rPr>
          <w:rFonts w:ascii="Times New Roman" w:hAnsi="Times New Roman" w:cs="Times New Roman"/>
          <w:sz w:val="24"/>
          <w:szCs w:val="24"/>
        </w:rPr>
        <w:t xml:space="preserve">. </w:t>
      </w:r>
      <w:hyperlink r:id="rId9" w:history="1">
        <w:r w:rsidR="003B5791" w:rsidRPr="003B334A">
          <w:rPr>
            <w:rFonts w:ascii="Times New Roman" w:hAnsi="Times New Roman" w:cs="Times New Roman"/>
            <w:sz w:val="24"/>
            <w:szCs w:val="24"/>
          </w:rPr>
          <w:t>ГОСТ Р ИСО 22523-2007</w:t>
        </w:r>
      </w:hyperlink>
      <w:hyperlink r:id="rId10" w:history="1">
        <w:r w:rsidR="003B5791" w:rsidRPr="003B334A">
          <w:rPr>
            <w:rFonts w:ascii="Times New Roman" w:hAnsi="Times New Roman" w:cs="Times New Roman"/>
            <w:sz w:val="24"/>
            <w:szCs w:val="24"/>
          </w:rPr>
          <w:t xml:space="preserve"> Протезы конечностей и ортезы наружные. Требования и методы испытаний</w:t>
        </w:r>
      </w:hyperlink>
      <w:r w:rsidR="003B5791" w:rsidRPr="003B334A">
        <w:rPr>
          <w:rFonts w:ascii="Times New Roman" w:hAnsi="Times New Roman" w:cs="Times New Roman"/>
          <w:sz w:val="24"/>
          <w:szCs w:val="24"/>
        </w:rPr>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Протезы укомплектованы чехлами шерстяными и хлопчатобумажными в количестве </w:t>
      </w:r>
      <w:r w:rsidR="00C75376">
        <w:t>не менее 4</w:t>
      </w:r>
      <w:r>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w:t>
      </w:r>
      <w:r w:rsidRPr="007C278C">
        <w:lastRenderedPageBreak/>
        <w:t xml:space="preserve">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Срок пользования протезами нижних конечностей</w:t>
      </w:r>
      <w:r w:rsidR="003B5791" w:rsidRPr="007F2787">
        <w:t xml:space="preserve"> должен быть не менее минимального срока пользования, установленного приказом Минтруда и соцзащиты РФ от </w:t>
      </w:r>
      <w:r w:rsidR="003F6A54">
        <w:t>13.02.2018г</w:t>
      </w:r>
      <w:r w:rsidR="003B5791" w:rsidRPr="007F2787">
        <w:t xml:space="preserve"> №</w:t>
      </w:r>
      <w:r w:rsidR="003F6A54">
        <w:t>8</w:t>
      </w:r>
      <w:r w:rsidR="003B5791" w:rsidRPr="007F2787">
        <w:t>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134"/>
        <w:gridCol w:w="6379"/>
        <w:gridCol w:w="1417"/>
      </w:tblGrid>
      <w:tr w:rsidR="002D27AC" w:rsidTr="002D27AC">
        <w:trPr>
          <w:trHeight w:val="1474"/>
        </w:trPr>
        <w:tc>
          <w:tcPr>
            <w:tcW w:w="1134"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379"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2D27AC" w:rsidRPr="001A159E" w:rsidTr="002D27AC">
        <w:tc>
          <w:tcPr>
            <w:tcW w:w="1134" w:type="dxa"/>
          </w:tcPr>
          <w:p w:rsidR="002D27AC" w:rsidRPr="00792D93" w:rsidRDefault="002D27AC" w:rsidP="00AD3A7A">
            <w:pPr>
              <w:jc w:val="both"/>
              <w:rPr>
                <w:rFonts w:ascii="Times New Roman" w:hAnsi="Times New Roman" w:cs="Times New Roman"/>
              </w:rPr>
            </w:pPr>
            <w:r w:rsidRPr="00792D93">
              <w:rPr>
                <w:rFonts w:ascii="Times New Roman" w:hAnsi="Times New Roman" w:cs="Times New Roman"/>
              </w:rPr>
              <w:t xml:space="preserve">Протез голени </w:t>
            </w:r>
            <w:r>
              <w:rPr>
                <w:rFonts w:ascii="Times New Roman" w:hAnsi="Times New Roman" w:cs="Times New Roman"/>
              </w:rPr>
              <w:t>лечебно-тренировочный</w:t>
            </w:r>
          </w:p>
        </w:tc>
        <w:tc>
          <w:tcPr>
            <w:tcW w:w="6379" w:type="dxa"/>
          </w:tcPr>
          <w:p w:rsidR="002D27AC" w:rsidRPr="00AD3A7A" w:rsidRDefault="002D27AC" w:rsidP="003E5149">
            <w:pPr>
              <w:jc w:val="both"/>
              <w:rPr>
                <w:rFonts w:ascii="Times New Roman" w:hAnsi="Times New Roman" w:cs="Times New Roman"/>
                <w:color w:val="000000"/>
              </w:rPr>
            </w:pPr>
            <w:r w:rsidRPr="00AD3A7A">
              <w:rPr>
                <w:rFonts w:ascii="Times New Roman" w:hAnsi="Times New Roman" w:cs="Times New Roman"/>
                <w:color w:val="000000"/>
              </w:rPr>
              <w:t>Протез голени лечебно-тренировочный</w:t>
            </w:r>
            <w:r>
              <w:rPr>
                <w:rFonts w:ascii="Times New Roman" w:hAnsi="Times New Roman" w:cs="Times New Roman"/>
                <w:color w:val="000000"/>
              </w:rPr>
              <w:t xml:space="preserve">. Формообразующая часть косметической облицовки – листовой поролон. Косметическое покрытие облицовки - </w:t>
            </w:r>
            <w:r w:rsidRPr="00AD3A7A">
              <w:rPr>
                <w:rFonts w:ascii="Times New Roman" w:hAnsi="Times New Roman" w:cs="Times New Roman"/>
                <w:color w:val="000000"/>
              </w:rPr>
              <w:t xml:space="preserve"> </w:t>
            </w:r>
            <w:r w:rsidRPr="003A5943">
              <w:rPr>
                <w:rFonts w:ascii="Times New Roman" w:hAnsi="Times New Roman" w:cs="Times New Roman"/>
              </w:rPr>
              <w:t>чулки ортопедические перлоновые или сило</w:t>
            </w:r>
            <w:r>
              <w:rPr>
                <w:rFonts w:ascii="Times New Roman" w:hAnsi="Times New Roman" w:cs="Times New Roman"/>
              </w:rPr>
              <w:t>но</w:t>
            </w:r>
            <w:r w:rsidRPr="003A5943">
              <w:rPr>
                <w:rFonts w:ascii="Times New Roman" w:hAnsi="Times New Roman" w:cs="Times New Roman"/>
              </w:rPr>
              <w:t>вые</w:t>
            </w:r>
            <w:r>
              <w:rPr>
                <w:rFonts w:ascii="Times New Roman" w:hAnsi="Times New Roman" w:cs="Times New Roman"/>
                <w:color w:val="000000"/>
              </w:rPr>
              <w:t xml:space="preserve">, или без косметической облицовки. </w:t>
            </w:r>
            <w:r>
              <w:rPr>
                <w:rFonts w:ascii="Times New Roman" w:hAnsi="Times New Roman" w:cs="Times New Roman"/>
              </w:rPr>
              <w:t>Приёмная гильза индивидуальная (не менее двух пробных гильз</w:t>
            </w:r>
            <w:r w:rsidRPr="00BB0E58">
              <w:rPr>
                <w:rFonts w:ascii="Times New Roman" w:hAnsi="Times New Roman" w:cs="Times New Roman"/>
              </w:rPr>
              <w:t>). Материал индивидуальной приемной гильзы: литьевой слоистый пластик на основе акриловых смол</w:t>
            </w:r>
            <w:r>
              <w:rPr>
                <w:rFonts w:ascii="Times New Roman" w:hAnsi="Times New Roman" w:cs="Times New Roman"/>
              </w:rPr>
              <w:t xml:space="preserve"> или листовой термопласт.</w:t>
            </w:r>
            <w:r w:rsidRPr="00BB0E58">
              <w:rPr>
                <w:rFonts w:ascii="Times New Roman" w:hAnsi="Times New Roman" w:cs="Times New Roman"/>
              </w:rPr>
              <w:t xml:space="preserve"> </w:t>
            </w:r>
            <w:r w:rsidRPr="00AD3A7A">
              <w:rPr>
                <w:rFonts w:ascii="Times New Roman" w:hAnsi="Times New Roman" w:cs="Times New Roman"/>
                <w:color w:val="000000"/>
              </w:rPr>
              <w:t>Допускается вкладная г</w:t>
            </w:r>
            <w:r>
              <w:rPr>
                <w:rFonts w:ascii="Times New Roman" w:hAnsi="Times New Roman" w:cs="Times New Roman"/>
                <w:color w:val="000000"/>
              </w:rPr>
              <w:t xml:space="preserve">ильза из вспененных материалов. </w:t>
            </w:r>
            <w:r>
              <w:rPr>
                <w:rFonts w:ascii="Times New Roman" w:eastAsia="Arial" w:hAnsi="Times New Roman" w:cs="Times New Roman"/>
                <w:color w:val="000000"/>
              </w:rPr>
              <w:t>К</w:t>
            </w:r>
            <w:r w:rsidRPr="007C21EB">
              <w:rPr>
                <w:rFonts w:ascii="Times New Roman" w:eastAsia="Arial" w:hAnsi="Times New Roman" w:cs="Times New Roman"/>
                <w:color w:val="000000"/>
              </w:rPr>
              <w:t>реплени</w:t>
            </w:r>
            <w:r>
              <w:rPr>
                <w:rFonts w:ascii="Times New Roman" w:eastAsia="Arial" w:hAnsi="Times New Roman" w:cs="Times New Roman"/>
                <w:color w:val="000000"/>
              </w:rPr>
              <w:t>е</w:t>
            </w:r>
            <w:r w:rsidRPr="007C21EB">
              <w:rPr>
                <w:rFonts w:ascii="Times New Roman" w:eastAsia="Arial" w:hAnsi="Times New Roman" w:cs="Times New Roman"/>
                <w:color w:val="000000"/>
              </w:rPr>
              <w:t xml:space="preserve"> протеза: с использованием гильзы (манжеты с шинами) бедра или с использованием кожаных полуфабрикатов (без шин). </w:t>
            </w:r>
            <w:r>
              <w:rPr>
                <w:rFonts w:ascii="Times New Roman" w:eastAsia="Arial" w:hAnsi="Times New Roman" w:cs="Times New Roman"/>
                <w:color w:val="000000"/>
              </w:rPr>
              <w:t>Р</w:t>
            </w:r>
            <w:r w:rsidRPr="00AD3A7A">
              <w:rPr>
                <w:rFonts w:ascii="Times New Roman" w:hAnsi="Times New Roman" w:cs="Times New Roman"/>
                <w:color w:val="000000"/>
              </w:rPr>
              <w:t xml:space="preserve">егулировочно-соединительное устройство </w:t>
            </w:r>
            <w:r>
              <w:rPr>
                <w:rFonts w:ascii="Times New Roman" w:hAnsi="Times New Roman" w:cs="Times New Roman"/>
                <w:color w:val="000000"/>
              </w:rPr>
              <w:t xml:space="preserve">должно </w:t>
            </w:r>
            <w:r w:rsidRPr="00AD3A7A">
              <w:rPr>
                <w:rFonts w:ascii="Times New Roman" w:hAnsi="Times New Roman" w:cs="Times New Roman"/>
                <w:color w:val="000000"/>
              </w:rPr>
              <w:t>соответств</w:t>
            </w:r>
            <w:r>
              <w:rPr>
                <w:rFonts w:ascii="Times New Roman" w:hAnsi="Times New Roman" w:cs="Times New Roman"/>
                <w:color w:val="000000"/>
              </w:rPr>
              <w:t>овать весу инвалида. 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3F6A54">
              <w:rPr>
                <w:rFonts w:ascii="Times New Roman" w:hAnsi="Times New Roman" w:cs="Times New Roman"/>
              </w:rPr>
              <w:t>.</w:t>
            </w:r>
            <w:r>
              <w:rPr>
                <w:rFonts w:ascii="Times New Roman" w:hAnsi="Times New Roman" w:cs="Times New Roman"/>
                <w:color w:val="000000"/>
              </w:rPr>
              <w:t xml:space="preserve"> </w:t>
            </w:r>
            <w:r w:rsidRPr="00AD3A7A">
              <w:rPr>
                <w:rFonts w:ascii="Times New Roman" w:hAnsi="Times New Roman" w:cs="Times New Roman"/>
                <w:color w:val="000000"/>
              </w:rPr>
              <w:t xml:space="preserve"> Тип протеза </w:t>
            </w:r>
            <w:r>
              <w:rPr>
                <w:rFonts w:ascii="Times New Roman" w:hAnsi="Times New Roman" w:cs="Times New Roman"/>
                <w:color w:val="000000"/>
              </w:rPr>
              <w:t xml:space="preserve">по назначению: </w:t>
            </w:r>
            <w:r w:rsidRPr="00AD3A7A">
              <w:rPr>
                <w:rFonts w:ascii="Times New Roman" w:hAnsi="Times New Roman" w:cs="Times New Roman"/>
                <w:color w:val="000000"/>
              </w:rPr>
              <w:t>лечебно-тренировочный.</w:t>
            </w:r>
          </w:p>
        </w:tc>
        <w:tc>
          <w:tcPr>
            <w:tcW w:w="1417" w:type="dxa"/>
          </w:tcPr>
          <w:p w:rsidR="002D27AC" w:rsidRPr="00792D93" w:rsidRDefault="003B334A" w:rsidP="00AD3A7A">
            <w:pPr>
              <w:jc w:val="center"/>
              <w:rPr>
                <w:rFonts w:ascii="Times New Roman" w:hAnsi="Times New Roman" w:cs="Times New Roman"/>
              </w:rPr>
            </w:pPr>
            <w:r>
              <w:rPr>
                <w:rFonts w:ascii="Times New Roman" w:hAnsi="Times New Roman" w:cs="Times New Roman"/>
              </w:rPr>
              <w:t>10</w:t>
            </w:r>
          </w:p>
        </w:tc>
      </w:tr>
      <w:tr w:rsidR="002D27AC" w:rsidRPr="001A159E" w:rsidTr="002D27AC">
        <w:tc>
          <w:tcPr>
            <w:tcW w:w="1134" w:type="dxa"/>
          </w:tcPr>
          <w:p w:rsidR="002D27AC" w:rsidRPr="001A159E" w:rsidRDefault="002D27AC" w:rsidP="00AD3A7A">
            <w:pPr>
              <w:jc w:val="both"/>
              <w:rPr>
                <w:rFonts w:ascii="Times New Roman" w:hAnsi="Times New Roman" w:cs="Times New Roman"/>
              </w:rPr>
            </w:pPr>
            <w:r w:rsidRPr="001A159E">
              <w:rPr>
                <w:rFonts w:ascii="Times New Roman" w:hAnsi="Times New Roman" w:cs="Times New Roman"/>
              </w:rPr>
              <w:t xml:space="preserve">Протез бедра </w:t>
            </w:r>
            <w:r>
              <w:rPr>
                <w:rFonts w:ascii="Times New Roman" w:hAnsi="Times New Roman" w:cs="Times New Roman"/>
              </w:rPr>
              <w:t>лечебно-тренировочный</w:t>
            </w:r>
          </w:p>
        </w:tc>
        <w:tc>
          <w:tcPr>
            <w:tcW w:w="6379" w:type="dxa"/>
            <w:vAlign w:val="center"/>
          </w:tcPr>
          <w:p w:rsidR="002D27AC" w:rsidRPr="00AD3A7A" w:rsidRDefault="002D27AC" w:rsidP="00AD3A7A">
            <w:pPr>
              <w:suppressAutoHyphens w:val="0"/>
              <w:jc w:val="both"/>
              <w:rPr>
                <w:rFonts w:ascii="Times New Roman" w:hAnsi="Times New Roman" w:cs="Times New Roman"/>
                <w:color w:val="000000"/>
                <w:szCs w:val="20"/>
                <w:lang w:eastAsia="ru-RU"/>
              </w:rPr>
            </w:pPr>
            <w:r w:rsidRPr="00AD3A7A">
              <w:rPr>
                <w:rFonts w:ascii="Times New Roman" w:hAnsi="Times New Roman" w:cs="Times New Roman"/>
              </w:rPr>
              <w:t xml:space="preserve">Протез бедра лечебно-тренировочный. </w:t>
            </w:r>
            <w:r w:rsidRPr="003A5943">
              <w:rPr>
                <w:rFonts w:ascii="Times New Roman" w:hAnsi="Times New Roman" w:cs="Times New Roman"/>
              </w:rPr>
              <w:t>Косметическое покрытие облицовки – чулки ортопедические перлоновые или сило</w:t>
            </w:r>
            <w:r>
              <w:rPr>
                <w:rFonts w:ascii="Times New Roman" w:hAnsi="Times New Roman" w:cs="Times New Roman"/>
              </w:rPr>
              <w:t>но</w:t>
            </w:r>
            <w:r w:rsidRPr="003A5943">
              <w:rPr>
                <w:rFonts w:ascii="Times New Roman" w:hAnsi="Times New Roman" w:cs="Times New Roman"/>
              </w:rPr>
              <w:t>вые. Приёмная гильза индивидуальная (одна пробная гильза). Материал индивидуальной постоянной гильзы: литьевой слоистый п</w:t>
            </w:r>
            <w:r>
              <w:rPr>
                <w:rFonts w:ascii="Times New Roman" w:hAnsi="Times New Roman" w:cs="Times New Roman"/>
              </w:rPr>
              <w:t xml:space="preserve">ластик на основе акриловых смол, или листовой термопласт.  </w:t>
            </w:r>
            <w:r w:rsidRPr="00AD3A7A">
              <w:rPr>
                <w:rFonts w:ascii="Times New Roman" w:hAnsi="Times New Roman" w:cs="Times New Roman"/>
              </w:rPr>
              <w:t xml:space="preserve">Крепление протеза поясное с использованием кожаных полуфабрикатов или бандаж. Регулировочно-соединительное устройство должно соответствовать весу инвалида. </w:t>
            </w:r>
            <w:r w:rsidRPr="00AD3A7A">
              <w:rPr>
                <w:rFonts w:ascii="Times New Roman" w:hAnsi="Times New Roman" w:cs="Times New Roman"/>
                <w:color w:val="000000"/>
                <w:szCs w:val="20"/>
                <w:lang w:eastAsia="ru-RU"/>
              </w:rPr>
              <w:t xml:space="preserve">Коленный шарнир полицентрический с «геометрическим замком» с зависимым механическим регулированием фаз сгибания-разгибания или с замком в коленном модуле. </w:t>
            </w:r>
            <w:r>
              <w:rPr>
                <w:rFonts w:ascii="Times New Roman" w:hAnsi="Times New Roman" w:cs="Times New Roman"/>
                <w:color w:val="000000"/>
              </w:rPr>
              <w:t>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3F6A54">
              <w:rPr>
                <w:rFonts w:ascii="Times New Roman" w:hAnsi="Times New Roman" w:cs="Times New Roman"/>
              </w:rPr>
              <w:t>.</w:t>
            </w:r>
            <w:r>
              <w:rPr>
                <w:rFonts w:ascii="Times New Roman" w:hAnsi="Times New Roman" w:cs="Times New Roman"/>
              </w:rPr>
              <w:t xml:space="preserve"> </w:t>
            </w:r>
            <w:r w:rsidRPr="00AD3A7A">
              <w:rPr>
                <w:rFonts w:ascii="Times New Roman" w:hAnsi="Times New Roman" w:cs="Times New Roman"/>
                <w:color w:val="000000"/>
                <w:szCs w:val="20"/>
                <w:lang w:eastAsia="ru-RU"/>
              </w:rPr>
              <w:t>Тип протеза по назначению: лечебно-тренировочный.</w:t>
            </w:r>
          </w:p>
          <w:p w:rsidR="002D27AC" w:rsidRPr="00AD3A7A" w:rsidRDefault="002D27AC" w:rsidP="00AD3A7A">
            <w:pPr>
              <w:suppressAutoHyphens w:val="0"/>
              <w:jc w:val="both"/>
              <w:rPr>
                <w:rFonts w:ascii="Times New Roman" w:hAnsi="Times New Roman" w:cs="Times New Roman"/>
                <w:color w:val="000000"/>
                <w:szCs w:val="20"/>
                <w:lang w:eastAsia="ru-RU"/>
              </w:rPr>
            </w:pPr>
          </w:p>
        </w:tc>
        <w:tc>
          <w:tcPr>
            <w:tcW w:w="1417" w:type="dxa"/>
          </w:tcPr>
          <w:p w:rsidR="002D27AC" w:rsidRPr="001A159E" w:rsidRDefault="003F6A54" w:rsidP="00AD3A7A">
            <w:pPr>
              <w:jc w:val="center"/>
              <w:rPr>
                <w:rFonts w:ascii="Times New Roman" w:hAnsi="Times New Roman" w:cs="Times New Roman"/>
              </w:rPr>
            </w:pPr>
            <w:r>
              <w:rPr>
                <w:rFonts w:ascii="Times New Roman" w:hAnsi="Times New Roman" w:cs="Times New Roman"/>
              </w:rPr>
              <w:t>20</w:t>
            </w:r>
          </w:p>
        </w:tc>
      </w:tr>
      <w:tr w:rsidR="003E5149" w:rsidRPr="001A159E" w:rsidTr="002D27AC">
        <w:tc>
          <w:tcPr>
            <w:tcW w:w="1134" w:type="dxa"/>
          </w:tcPr>
          <w:p w:rsidR="003E5149" w:rsidRPr="003E5149" w:rsidRDefault="003E5149" w:rsidP="00AD3A7A">
            <w:pPr>
              <w:jc w:val="both"/>
              <w:rPr>
                <w:rFonts w:ascii="Times New Roman" w:hAnsi="Times New Roman" w:cs="Times New Roman"/>
                <w:sz w:val="24"/>
                <w:szCs w:val="24"/>
              </w:rPr>
            </w:pPr>
            <w:r w:rsidRPr="003E5149">
              <w:rPr>
                <w:rFonts w:ascii="Times New Roman" w:hAnsi="Times New Roman" w:cs="Times New Roman"/>
                <w:sz w:val="24"/>
                <w:szCs w:val="24"/>
              </w:rPr>
              <w:lastRenderedPageBreak/>
              <w:t>Итого</w:t>
            </w:r>
          </w:p>
        </w:tc>
        <w:tc>
          <w:tcPr>
            <w:tcW w:w="6379" w:type="dxa"/>
            <w:vAlign w:val="center"/>
          </w:tcPr>
          <w:p w:rsidR="003E5149" w:rsidRPr="00AD3A7A" w:rsidRDefault="003E5149" w:rsidP="00AD3A7A">
            <w:pPr>
              <w:suppressAutoHyphens w:val="0"/>
              <w:jc w:val="both"/>
            </w:pPr>
          </w:p>
        </w:tc>
        <w:tc>
          <w:tcPr>
            <w:tcW w:w="1417" w:type="dxa"/>
          </w:tcPr>
          <w:p w:rsidR="003E5149" w:rsidRPr="003E5149" w:rsidRDefault="00F21079" w:rsidP="00F21079">
            <w:pPr>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3E5149" w:rsidRPr="003E5149">
              <w:rPr>
                <w:rFonts w:ascii="Times New Roman" w:hAnsi="Times New Roman" w:cs="Times New Roman"/>
                <w:sz w:val="24"/>
                <w:szCs w:val="24"/>
              </w:rPr>
              <w:t>0</w:t>
            </w:r>
          </w:p>
        </w:tc>
      </w:tr>
    </w:tbl>
    <w:p w:rsidR="007F2787" w:rsidRDefault="007F2787" w:rsidP="00C71451">
      <w:pPr>
        <w:jc w:val="both"/>
      </w:pPr>
    </w:p>
    <w:p w:rsidR="003B334A" w:rsidRDefault="003B334A" w:rsidP="00C71451">
      <w:pPr>
        <w:jc w:val="both"/>
      </w:pPr>
      <w:r w:rsidRPr="00114A6D">
        <w:rPr>
          <w:b/>
        </w:rPr>
        <w:t>Место, условия и сроки (периоды) выполнения работ</w:t>
      </w:r>
      <w:r w:rsidRPr="00114A6D">
        <w:rPr>
          <w:bCs/>
          <w:iCs/>
        </w:rPr>
        <w:t>:</w:t>
      </w:r>
      <w:r w:rsidRPr="00114A6D">
        <w:t xml:space="preserve"> </w:t>
      </w:r>
      <w:r w:rsidRPr="0017282E">
        <w:t>Производить замеры по месту жительства Получателя или по согласованию с Получателем на территории Республики Крым</w:t>
      </w:r>
      <w:r>
        <w:t>.</w:t>
      </w:r>
      <w:r w:rsidRPr="0017282E">
        <w:t xml:space="preserve"> </w:t>
      </w:r>
      <w:r w:rsidRPr="0017282E">
        <w:rPr>
          <w:color w:val="212121"/>
        </w:rPr>
        <w:t xml:space="preserve">Выдать Изделие </w:t>
      </w:r>
      <w:r w:rsidRPr="0017282E">
        <w:t>непосредственно Получат</w:t>
      </w:r>
      <w:r>
        <w:t>елям</w:t>
      </w:r>
      <w:r w:rsidRPr="0017282E">
        <w:t xml:space="preserve"> по месту жительства Получателя </w:t>
      </w:r>
      <w:r>
        <w:t>или по согласованию с Получателе</w:t>
      </w:r>
      <w:r w:rsidRPr="0017282E">
        <w:t>м на террито</w:t>
      </w:r>
      <w:r>
        <w:t>рии Республики Крым, в течение 55 календарных дней с даты</w:t>
      </w:r>
      <w:r w:rsidRPr="0017282E">
        <w:t xml:space="preserve"> получения </w:t>
      </w:r>
      <w:r>
        <w:t>Реестров</w:t>
      </w:r>
      <w:r w:rsidRPr="0017282E">
        <w:t xml:space="preserve"> </w:t>
      </w:r>
      <w:r>
        <w:t>Исполнителем</w:t>
      </w:r>
      <w:r w:rsidRPr="0017282E">
        <w:t xml:space="preserve">, на основании </w:t>
      </w:r>
      <w:r>
        <w:t>Направления</w:t>
      </w:r>
      <w:r w:rsidRPr="0017282E">
        <w:t xml:space="preserve"> </w:t>
      </w:r>
      <w:r>
        <w:t xml:space="preserve">Получателей, но не </w:t>
      </w:r>
      <w:r w:rsidRPr="0017282E">
        <w:t xml:space="preserve">позднее </w:t>
      </w:r>
      <w:r>
        <w:t>10</w:t>
      </w:r>
      <w:r w:rsidRPr="0017282E">
        <w:t>.1</w:t>
      </w:r>
      <w:r w:rsidR="003F6A54">
        <w:t>1</w:t>
      </w:r>
      <w:r w:rsidRPr="0017282E">
        <w:t>.201</w:t>
      </w:r>
      <w:r>
        <w:t>8</w:t>
      </w:r>
      <w:r w:rsidRPr="0017282E">
        <w:t xml:space="preserve"> года.</w:t>
      </w:r>
    </w:p>
    <w:p w:rsidR="003F6A54" w:rsidRDefault="003F6A54" w:rsidP="00C71451">
      <w:pPr>
        <w:jc w:val="both"/>
      </w:pPr>
    </w:p>
    <w:p w:rsidR="003F6A54" w:rsidRDefault="003F6A54" w:rsidP="003F6A54">
      <w:pPr>
        <w:jc w:val="both"/>
      </w:pPr>
      <w:r w:rsidRPr="00E43080">
        <w:t xml:space="preserve">          </w:t>
      </w:r>
    </w:p>
    <w:sectPr w:rsidR="003F6A54" w:rsidSect="002D27AC">
      <w:footerReference w:type="default" r:id="rId11"/>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87" w:rsidRDefault="00E24487">
      <w:r>
        <w:separator/>
      </w:r>
    </w:p>
  </w:endnote>
  <w:endnote w:type="continuationSeparator" w:id="0">
    <w:p w:rsidR="00E24487" w:rsidRDefault="00E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87" w:rsidRDefault="00E24487">
      <w:r>
        <w:separator/>
      </w:r>
    </w:p>
  </w:footnote>
  <w:footnote w:type="continuationSeparator" w:id="0">
    <w:p w:rsidR="00E24487" w:rsidRDefault="00E24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E46"/>
    <w:rsid w:val="00077AC0"/>
    <w:rsid w:val="00084167"/>
    <w:rsid w:val="0009237E"/>
    <w:rsid w:val="00092651"/>
    <w:rsid w:val="00094911"/>
    <w:rsid w:val="000A1206"/>
    <w:rsid w:val="000B267C"/>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3F6A54"/>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4239"/>
    <w:rsid w:val="007815C5"/>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40FC"/>
    <w:rsid w:val="00895A63"/>
    <w:rsid w:val="00896ADD"/>
    <w:rsid w:val="008B52F5"/>
    <w:rsid w:val="008B6005"/>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24487"/>
    <w:rsid w:val="00E33730"/>
    <w:rsid w:val="00E46547"/>
    <w:rsid w:val="00E51E4B"/>
    <w:rsid w:val="00E621B1"/>
    <w:rsid w:val="00E67FCA"/>
    <w:rsid w:val="00E73544"/>
    <w:rsid w:val="00E749E4"/>
    <w:rsid w:val="00E81410"/>
    <w:rsid w:val="00E82EA0"/>
    <w:rsid w:val="00E83077"/>
    <w:rsid w:val="00EA6ED1"/>
    <w:rsid w:val="00EB7206"/>
    <w:rsid w:val="00EE4374"/>
    <w:rsid w:val="00F00803"/>
    <w:rsid w:val="00F03642"/>
    <w:rsid w:val="00F21079"/>
    <w:rsid w:val="00F25F31"/>
    <w:rsid w:val="00F27AB7"/>
    <w:rsid w:val="00F302BC"/>
    <w:rsid w:val="00F500F3"/>
    <w:rsid w:val="00F52B80"/>
    <w:rsid w:val="00F7165C"/>
    <w:rsid w:val="00F84FAA"/>
    <w:rsid w:val="00FA3BD7"/>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D1D3-295E-4EA3-AD9E-F90B0F4F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90</cp:revision>
  <cp:lastPrinted>2018-07-19T14:46:00Z</cp:lastPrinted>
  <dcterms:created xsi:type="dcterms:W3CDTF">2016-05-16T12:38:00Z</dcterms:created>
  <dcterms:modified xsi:type="dcterms:W3CDTF">2018-07-25T05:17:00Z</dcterms:modified>
  <dc:language>ru-RU</dc:language>
</cp:coreProperties>
</file>