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B" w:rsidRPr="00BE5033" w:rsidRDefault="006E671B" w:rsidP="006E671B">
      <w:pPr>
        <w:pageBreakBefore/>
        <w:jc w:val="center"/>
      </w:pPr>
      <w:r w:rsidRPr="00BE5033">
        <w:rPr>
          <w:rStyle w:val="10"/>
          <w:bCs/>
          <w:sz w:val="24"/>
        </w:rPr>
        <w:t xml:space="preserve">Техническое задание </w:t>
      </w:r>
      <w:r>
        <w:rPr>
          <w:rFonts w:eastAsia="Arial"/>
          <w:color w:val="000000"/>
          <w:spacing w:val="-4"/>
        </w:rPr>
        <w:t xml:space="preserve"> на поставку</w:t>
      </w:r>
      <w:r w:rsidRPr="00FD279F">
        <w:rPr>
          <w:rFonts w:eastAsia="Arial"/>
          <w:color w:val="000000"/>
          <w:spacing w:val="-4"/>
        </w:rPr>
        <w:t xml:space="preserve"> технических средств реабилитации – подгузников детских для обеспечения ими инвалидов</w:t>
      </w:r>
      <w:r>
        <w:rPr>
          <w:rFonts w:eastAsia="Arial"/>
          <w:color w:val="000000"/>
          <w:spacing w:val="-4"/>
        </w:rPr>
        <w:t>.</w:t>
      </w:r>
      <w:r w:rsidRPr="00FD279F">
        <w:rPr>
          <w:rStyle w:val="2"/>
          <w:rFonts w:eastAsia="Arial"/>
          <w:color w:val="000000"/>
          <w:spacing w:val="-4"/>
        </w:rPr>
        <w:t xml:space="preserve"> </w:t>
      </w:r>
      <w:r w:rsidRPr="002E4F19">
        <w:rPr>
          <w:rStyle w:val="2"/>
          <w:rFonts w:eastAsia="Arial"/>
          <w:bCs/>
          <w:color w:val="000000"/>
          <w:spacing w:val="-4"/>
        </w:rPr>
        <w:t xml:space="preserve">Начальная (максимальная) цена контракта — </w:t>
      </w:r>
      <w:r>
        <w:rPr>
          <w:bCs/>
        </w:rPr>
        <w:t xml:space="preserve">                      </w:t>
      </w:r>
      <w:r w:rsidR="00C874FD">
        <w:rPr>
          <w:bCs/>
        </w:rPr>
        <w:t>1 353 750,00</w:t>
      </w:r>
      <w:r>
        <w:rPr>
          <w:bCs/>
        </w:rPr>
        <w:t xml:space="preserve"> рублей</w:t>
      </w:r>
    </w:p>
    <w:p w:rsidR="006E671B" w:rsidRDefault="006E671B" w:rsidP="006E671B">
      <w:pPr>
        <w:shd w:val="clear" w:color="auto" w:fill="FFFFFF"/>
        <w:tabs>
          <w:tab w:val="left" w:pos="0"/>
        </w:tabs>
        <w:ind w:firstLine="550"/>
        <w:jc w:val="both"/>
      </w:pPr>
    </w:p>
    <w:p w:rsidR="006E671B" w:rsidRPr="00A93613" w:rsidRDefault="006E671B" w:rsidP="006E671B">
      <w:pPr>
        <w:ind w:firstLine="709"/>
        <w:jc w:val="both"/>
        <w:textAlignment w:val="baseline"/>
        <w:rPr>
          <w:kern w:val="1"/>
          <w:sz w:val="26"/>
          <w:szCs w:val="26"/>
          <w:lang w:eastAsia="ar-SA"/>
        </w:rPr>
      </w:pPr>
    </w:p>
    <w:tbl>
      <w:tblPr>
        <w:tblpPr w:leftFromText="180" w:rightFromText="180" w:vertAnchor="text" w:tblpX="17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4394"/>
        <w:gridCol w:w="993"/>
        <w:gridCol w:w="1134"/>
        <w:gridCol w:w="1417"/>
      </w:tblGrid>
      <w:tr w:rsidR="00C874FD" w:rsidRPr="00AB0C2E" w:rsidTr="009E745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Вид изделий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4FD" w:rsidRPr="00861A42" w:rsidRDefault="00C874FD" w:rsidP="009E745F">
            <w:pPr>
              <w:rPr>
                <w:sz w:val="22"/>
                <w:szCs w:val="22"/>
              </w:rPr>
            </w:pPr>
            <w:r w:rsidRPr="00861A42">
              <w:rPr>
                <w:sz w:val="22"/>
                <w:szCs w:val="22"/>
              </w:rPr>
              <w:t>Функциональные характеристики и</w:t>
            </w:r>
          </w:p>
          <w:p w:rsidR="00C874FD" w:rsidRPr="00D27F10" w:rsidRDefault="00C874FD" w:rsidP="009E745F">
            <w:pPr>
              <w:widowControl w:val="0"/>
              <w:snapToGrid w:val="0"/>
              <w:ind w:left="-1893" w:right="-192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861A42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Кол-во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Цена ед.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Сумма, </w:t>
            </w: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(руб.)</w:t>
            </w:r>
          </w:p>
        </w:tc>
      </w:tr>
      <w:tr w:rsidR="00C874FD" w:rsidRPr="00AB0C2E" w:rsidTr="009E745F">
        <w:trPr>
          <w:trHeight w:val="26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Подгузники для детей весом до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D" w:rsidRPr="00E933B6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874FD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Двойной впитывающий слой должен быть из с суперабсорбентом, превращающим жидкость в гель. Подгузники должны быть оснащены эластичным поясом со 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</w:t>
            </w:r>
            <w:r>
              <w:rPr>
                <w:rFonts w:eastAsia="Andale Sans UI"/>
                <w:sz w:val="22"/>
                <w:szCs w:val="22"/>
                <w:lang w:bidi="fa-IR"/>
              </w:rPr>
              <w:t>должны быть воздухопроницаемыми.</w:t>
            </w:r>
          </w:p>
          <w:p w:rsidR="00C874FD" w:rsidRPr="00D27F10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</w:rPr>
              <w:t xml:space="preserve">Предназначены для </w:t>
            </w:r>
            <w:r w:rsidRPr="00861A42">
              <w:rPr>
                <w:sz w:val="22"/>
                <w:szCs w:val="22"/>
              </w:rPr>
              <w:t>детей весом от 7 до 18 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240 000,00</w:t>
            </w:r>
          </w:p>
        </w:tc>
      </w:tr>
      <w:tr w:rsidR="00C874FD" w:rsidRPr="00AB0C2E" w:rsidTr="009E745F">
        <w:trPr>
          <w:trHeight w:val="26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2</w:t>
            </w: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Подгузники для детей весом до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D" w:rsidRPr="00E933B6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874FD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 xml:space="preserve"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Двойной впитывающий слой должен быть из с суперабсорбентом, превращающим жидкость в гель. Подгузники должны быть оснащены эластичным поясом со </w:t>
            </w:r>
            <w:r w:rsidRPr="00E933B6">
              <w:rPr>
                <w:rFonts w:eastAsia="Andale Sans UI"/>
                <w:sz w:val="22"/>
                <w:szCs w:val="22"/>
                <w:lang w:bidi="fa-IR"/>
              </w:rPr>
              <w:lastRenderedPageBreak/>
              <w:t>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должны быть воздухопроницаемыми.</w:t>
            </w:r>
          </w:p>
          <w:p w:rsidR="00C874FD" w:rsidRPr="00D27F10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264ECF">
              <w:rPr>
                <w:rFonts w:eastAsia="Andale Sans UI"/>
                <w:sz w:val="22"/>
                <w:szCs w:val="22"/>
                <w:lang w:bidi="fa-IR"/>
              </w:rPr>
              <w:t>Предназначены для</w:t>
            </w:r>
            <w:r>
              <w:rPr>
                <w:rFonts w:eastAsia="Andale Sans UI"/>
                <w:sz w:val="22"/>
                <w:szCs w:val="22"/>
                <w:lang w:bidi="fa-IR"/>
              </w:rPr>
              <w:t xml:space="preserve"> детей весом от 11 до 20</w:t>
            </w:r>
            <w:r w:rsidRPr="00264ECF">
              <w:rPr>
                <w:rFonts w:eastAsia="Andale Sans UI"/>
                <w:sz w:val="22"/>
                <w:szCs w:val="22"/>
                <w:lang w:bidi="fa-IR"/>
              </w:rPr>
              <w:t xml:space="preserve"> кг</w:t>
            </w:r>
            <w:r>
              <w:rPr>
                <w:rFonts w:eastAsia="Andale Sans UI"/>
                <w:sz w:val="22"/>
                <w:szCs w:val="22"/>
                <w:lang w:bidi="fa-IR"/>
              </w:rPr>
              <w:t xml:space="preserve"> и более.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lastRenderedPageBreak/>
              <w:t>25 000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9708E2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259 750,00                        </w:t>
            </w:r>
          </w:p>
        </w:tc>
      </w:tr>
      <w:tr w:rsidR="00C874FD" w:rsidRPr="00AB0C2E" w:rsidTr="009E745F">
        <w:trPr>
          <w:trHeight w:val="23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3</w:t>
            </w: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right="45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D27F10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Подгузники для детей весом свыше 20 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D" w:rsidRPr="00E933B6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>Подгузники детские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C874FD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E933B6">
              <w:rPr>
                <w:rFonts w:eastAsia="Andale Sans UI"/>
                <w:sz w:val="22"/>
                <w:szCs w:val="22"/>
                <w:lang w:bidi="fa-IR"/>
              </w:rPr>
              <w:t>Анатомическая форма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ребенка, дополнительную защиту кожи ребенка от раздражения при соприкосновении с мочой и калом. Двойной впитывающий слой должен быть из с суперабсорбентом, превращающим жидкость в гель. Подгузники должны быть оснащены эластичным поясом со специальной зоной крепления, защитными бортиками/ барьерами и эластичными манжетами, не содержащими латекс, по краям должны быть надежные многоразовые застежки. Наружный слой должен быть из специального материала, препятствующего проникновению влаги наружу. Подгузники должны быть воздухопроницаемыми.</w:t>
            </w:r>
          </w:p>
          <w:p w:rsidR="00C874FD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 w:rsidRPr="00264ECF">
              <w:rPr>
                <w:rFonts w:eastAsia="Andale Sans UI"/>
                <w:sz w:val="22"/>
                <w:szCs w:val="22"/>
                <w:lang w:bidi="fa-IR"/>
              </w:rPr>
              <w:t>Предназначены для</w:t>
            </w:r>
            <w:r>
              <w:rPr>
                <w:rFonts w:eastAsia="Andale Sans UI"/>
                <w:sz w:val="22"/>
                <w:szCs w:val="22"/>
                <w:lang w:bidi="fa-IR"/>
              </w:rPr>
              <w:t xml:space="preserve"> </w:t>
            </w:r>
            <w:r w:rsidRPr="00264ECF">
              <w:rPr>
                <w:rFonts w:eastAsia="Andale Sans UI"/>
                <w:sz w:val="22"/>
                <w:szCs w:val="22"/>
                <w:lang w:bidi="fa-IR"/>
              </w:rPr>
              <w:t xml:space="preserve">детей весом от </w:t>
            </w:r>
            <w:r>
              <w:rPr>
                <w:rFonts w:eastAsia="Andale Sans UI"/>
                <w:sz w:val="22"/>
                <w:szCs w:val="22"/>
                <w:lang w:bidi="fa-IR"/>
              </w:rPr>
              <w:t>15 до 30</w:t>
            </w:r>
            <w:r w:rsidRPr="00264ECF">
              <w:rPr>
                <w:rFonts w:eastAsia="Andale Sans UI"/>
                <w:sz w:val="22"/>
                <w:szCs w:val="22"/>
                <w:lang w:bidi="fa-IR"/>
              </w:rPr>
              <w:t xml:space="preserve"> кг</w:t>
            </w:r>
          </w:p>
          <w:p w:rsidR="00C874FD" w:rsidRPr="00D27F10" w:rsidRDefault="00C874FD" w:rsidP="009E745F">
            <w:pPr>
              <w:keepNext/>
              <w:widowControl w:val="0"/>
              <w:tabs>
                <w:tab w:val="left" w:pos="708"/>
              </w:tabs>
              <w:jc w:val="both"/>
              <w:textAlignment w:val="baseline"/>
              <w:rPr>
                <w:rFonts w:eastAsia="Andale Sans UI"/>
                <w:sz w:val="22"/>
                <w:szCs w:val="22"/>
                <w:lang w:bidi="fa-IR"/>
              </w:rPr>
            </w:pPr>
            <w:r>
              <w:rPr>
                <w:rFonts w:eastAsia="Andale Sans UI"/>
                <w:sz w:val="22"/>
                <w:szCs w:val="22"/>
                <w:lang w:bidi="fa-IR"/>
              </w:rPr>
              <w:t xml:space="preserve">(включительно)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43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7</w:t>
            </w:r>
            <w:r w:rsidRPr="009708E2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0</w:t>
            </w: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73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 w:rsidRPr="009708E2"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12,20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D" w:rsidRPr="00D27F10" w:rsidRDefault="00C874FD" w:rsidP="009E745F">
            <w:pPr>
              <w:widowControl w:val="0"/>
              <w:snapToGrid w:val="0"/>
              <w:ind w:left="-91" w:right="-108"/>
              <w:jc w:val="center"/>
              <w:textAlignment w:val="baseline"/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eastAsia="Andale Sans UI" w:cs="Tahoma"/>
                <w:kern w:val="1"/>
                <w:sz w:val="22"/>
                <w:szCs w:val="22"/>
                <w:lang w:eastAsia="fa-IR" w:bidi="fa-IR"/>
              </w:rPr>
              <w:t>854 000,00</w:t>
            </w:r>
          </w:p>
        </w:tc>
      </w:tr>
    </w:tbl>
    <w:p w:rsidR="006E671B" w:rsidRDefault="006E671B" w:rsidP="006E671B">
      <w:pPr>
        <w:shd w:val="clear" w:color="auto" w:fill="FFFFFF"/>
        <w:tabs>
          <w:tab w:val="left" w:pos="0"/>
        </w:tabs>
        <w:jc w:val="both"/>
      </w:pPr>
    </w:p>
    <w:p w:rsidR="002B7948" w:rsidRDefault="006E671B" w:rsidP="006E671B">
      <w:pPr>
        <w:pStyle w:val="Standard"/>
        <w:shd w:val="clear" w:color="auto" w:fill="FFFFFF"/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</w:p>
    <w:tbl>
      <w:tblPr>
        <w:tblpPr w:leftFromText="180" w:rightFromText="180" w:vertAnchor="text" w:horzAnchor="margin" w:tblpX="108" w:tblpY="343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8"/>
        <w:gridCol w:w="6972"/>
      </w:tblGrid>
      <w:tr w:rsidR="002B7948" w:rsidRPr="008864AD" w:rsidTr="000F5A9A">
        <w:trPr>
          <w:trHeight w:val="43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864AD">
              <w:rPr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8E706E">
              <w:rPr>
                <w:rFonts w:eastAsia="Arial"/>
                <w:color w:val="000000"/>
                <w:spacing w:val="-4"/>
                <w:sz w:val="22"/>
                <w:szCs w:val="22"/>
              </w:rPr>
              <w:t xml:space="preserve">В течение 2018 года. Поставка не менее 20 % от общего объема Товара в Ивановскую область в организованные Поставщиком пункты выдачи технических средств реабилитации в течение 5 (Пяти) календарных дней, а остальной объем Товара в течение 20 (Двадцати) календарных дней со дня заключения Контракта (до 15.12.2018 должно быть выдано 100% общего объема требуемого Товара). </w:t>
            </w:r>
          </w:p>
        </w:tc>
      </w:tr>
      <w:tr w:rsidR="002B7948" w:rsidRPr="008864AD" w:rsidTr="000F5A9A"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864AD">
              <w:rPr>
                <w:b/>
                <w:bCs/>
                <w:sz w:val="22"/>
                <w:szCs w:val="22"/>
              </w:rPr>
              <w:t xml:space="preserve">Срок доставки до инвалида 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8E706E">
              <w:rPr>
                <w:rFonts w:eastAsia="Arial"/>
                <w:color w:val="000000"/>
                <w:spacing w:val="-4"/>
                <w:sz w:val="22"/>
                <w:szCs w:val="22"/>
              </w:rPr>
              <w:t>Срок доставки до инвалида со дня получения поставщиком списка Получателей – не более 20 (Двадцати) календарных дней или со дня обращения инвалида: не более 10 (Десяти) календарных дней.</w:t>
            </w:r>
          </w:p>
        </w:tc>
      </w:tr>
      <w:tr w:rsidR="002B7948" w:rsidRPr="008864AD" w:rsidTr="000F5A9A">
        <w:trPr>
          <w:trHeight w:val="508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8864AD">
              <w:rPr>
                <w:b/>
                <w:sz w:val="22"/>
                <w:szCs w:val="22"/>
              </w:rPr>
              <w:t>Место поставки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8864AD" w:rsidRDefault="002B7948" w:rsidP="000F5A9A">
            <w:pPr>
              <w:pStyle w:val="Standard"/>
              <w:snapToGrid w:val="0"/>
              <w:spacing w:line="100" w:lineRule="atLeast"/>
              <w:jc w:val="both"/>
            </w:pPr>
            <w:r w:rsidRPr="008864AD">
              <w:rPr>
                <w:rFonts w:eastAsia="Arial"/>
                <w:bCs/>
                <w:iCs/>
                <w:spacing w:val="-2"/>
                <w:sz w:val="22"/>
                <w:szCs w:val="22"/>
              </w:rPr>
              <w:t xml:space="preserve">Ивановская область. Поставка осуществляется в </w:t>
            </w:r>
            <w:r w:rsidRPr="008864AD">
              <w:rPr>
                <w:rFonts w:eastAsia="Arial"/>
                <w:iCs/>
                <w:spacing w:val="-2"/>
                <w:sz w:val="22"/>
                <w:szCs w:val="22"/>
              </w:rPr>
              <w:t xml:space="preserve">организованные поставщиком пункты выдачи технических средств реабилитации. </w:t>
            </w:r>
          </w:p>
        </w:tc>
      </w:tr>
      <w:tr w:rsidR="002B7948" w:rsidRPr="008864AD" w:rsidTr="000F5A9A">
        <w:trPr>
          <w:trHeight w:val="508"/>
        </w:trPr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62404D">
              <w:rPr>
                <w:b/>
                <w:sz w:val="22"/>
                <w:szCs w:val="22"/>
              </w:rPr>
              <w:lastRenderedPageBreak/>
              <w:t>Условия поставки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62404D">
              <w:rPr>
                <w:rFonts w:eastAsia="Arial"/>
                <w:color w:val="000000"/>
                <w:spacing w:val="-4"/>
                <w:sz w:val="22"/>
                <w:szCs w:val="22"/>
              </w:rPr>
              <w:t>Поставщик обязан обеспечить бесперебойную работу каждого из пунктов выдачи товара не менее 45 часов в неделю, из них не менее 5 часов в выходные дни (суббота и воскресенье).</w:t>
            </w:r>
          </w:p>
        </w:tc>
      </w:tr>
      <w:tr w:rsidR="002B7948" w:rsidRPr="008864AD" w:rsidTr="000F5A9A">
        <w:trPr>
          <w:trHeight w:val="508"/>
        </w:trPr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62404D">
              <w:rPr>
                <w:b/>
                <w:sz w:val="22"/>
                <w:szCs w:val="22"/>
              </w:rPr>
              <w:t>Срок годности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62404D">
              <w:rPr>
                <w:rFonts w:eastAsia="Arial"/>
                <w:color w:val="000000"/>
                <w:spacing w:val="-4"/>
                <w:sz w:val="22"/>
                <w:szCs w:val="22"/>
              </w:rPr>
              <w:t>Срок годности — не менее 3 лет.</w:t>
            </w:r>
          </w:p>
        </w:tc>
      </w:tr>
      <w:tr w:rsidR="002B7948" w:rsidRPr="008864AD" w:rsidTr="000F5A9A">
        <w:trPr>
          <w:trHeight w:val="508"/>
        </w:trPr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62404D">
              <w:rPr>
                <w:b/>
                <w:color w:val="000000"/>
                <w:sz w:val="22"/>
                <w:szCs w:val="22"/>
              </w:rPr>
              <w:t>Остаточный срок годности Товара на день поставки</w:t>
            </w:r>
          </w:p>
        </w:tc>
        <w:tc>
          <w:tcPr>
            <w:tcW w:w="6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62404D">
              <w:rPr>
                <w:rFonts w:eastAsia="Arial"/>
                <w:color w:val="000000"/>
                <w:spacing w:val="-4"/>
                <w:sz w:val="22"/>
                <w:szCs w:val="22"/>
              </w:rPr>
              <w:t>Остаточный срок годности Товара на день поставки в Ивановскую область должен составлять не менее 1 года.</w:t>
            </w:r>
          </w:p>
        </w:tc>
      </w:tr>
      <w:tr w:rsidR="002B7948" w:rsidRPr="008864AD" w:rsidTr="000F5A9A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keepNext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62404D">
              <w:rPr>
                <w:b/>
                <w:sz w:val="22"/>
                <w:szCs w:val="22"/>
              </w:rPr>
              <w:t>Соответствие ГОСТам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48" w:rsidRPr="0062404D" w:rsidRDefault="002B7948" w:rsidP="000F5A9A">
            <w:pPr>
              <w:pStyle w:val="Standard"/>
              <w:shd w:val="clear" w:color="auto" w:fill="FFFFFF"/>
              <w:tabs>
                <w:tab w:val="left" w:pos="708"/>
              </w:tabs>
              <w:autoSpaceDE w:val="0"/>
              <w:snapToGrid w:val="0"/>
              <w:spacing w:line="100" w:lineRule="atLeast"/>
              <w:jc w:val="both"/>
              <w:rPr>
                <w:rFonts w:eastAsia="Arial"/>
                <w:color w:val="000000"/>
                <w:spacing w:val="-4"/>
                <w:sz w:val="22"/>
                <w:szCs w:val="22"/>
              </w:rPr>
            </w:pPr>
            <w:r w:rsidRPr="0062404D">
              <w:rPr>
                <w:rFonts w:eastAsia="Arial"/>
                <w:color w:val="000000"/>
                <w:spacing w:val="-4"/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</w:tr>
    </w:tbl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Конструкция подгузников включает (начиная со слоя, контактирующего с кожей ребенка):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верхний покровный слой;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распределительный слой;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абсорбирующий слой;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защитный слой;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нижний покровный слой;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боковые дугообразные оборки с двух сторон подгузника, стянутые резинками;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Допускается изготовлять подгузники без распределительного и нижнего покровного слоев.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При отсутствии нижнего покровного слоя его функции выполняет защитный слой.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могут иметь дополнительные слои помимо вышеперечисленных, выполняющие определенные функции.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изготовляют в виде раскроя трусов с застежками - "липучками" или в виде готовых трусов.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Подгузники могут быть изготовлены со специальными ингредиентами на верхнем покровном слое, нанесенными на всю поверхность или в виде полосок, обеспечивающих дополнительную защиту кожи ребенка от раздражения при соприкосновении с мочой и калом (вазелин, лосьон и др.).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>
        <w:t>Допускаются другие виды (варианты) технического исполнения подгузников.</w:t>
      </w:r>
    </w:p>
    <w:p w:rsidR="002B7948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 w:rsidRPr="00275227">
        <w:t>Нижний покровный слой или скрепляющие элементы подгузников изготовляют без отделки или с отделкой с помощью рисунка, нанесенного различными способами (печатью, тиснением и др.), или с отделкой другими способами.</w:t>
      </w:r>
    </w:p>
    <w:p w:rsidR="002B7948" w:rsidRPr="008864AD" w:rsidRDefault="002B7948" w:rsidP="002B7948">
      <w:pPr>
        <w:pStyle w:val="Standard"/>
        <w:shd w:val="clear" w:color="auto" w:fill="FFFFFF"/>
        <w:tabs>
          <w:tab w:val="left" w:pos="708"/>
        </w:tabs>
        <w:ind w:firstLine="614"/>
        <w:jc w:val="both"/>
      </w:pPr>
      <w:r w:rsidRPr="00A20C68">
        <w:t>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 w:rsidRPr="008864AD">
        <w:t xml:space="preserve">Печатное изображение на </w:t>
      </w:r>
      <w:r w:rsidRPr="008864AD">
        <w:rPr>
          <w:rFonts w:eastAsia="Arial"/>
          <w:color w:val="000000"/>
          <w:spacing w:val="-4"/>
        </w:rPr>
        <w:t>изделиях</w:t>
      </w:r>
      <w:r w:rsidRPr="008864AD">
        <w:t xml:space="preserve"> должно быть четким без искажений и пробелов. Не допускаются следы выщипывания волокон с поверхности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и отмарывания краски. 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Для изготовления подгузников применяют следующие материалы: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настоящего стандарта;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</w:r>
      <w:r>
        <w:rPr>
          <w:vertAlign w:val="superscript"/>
        </w:rPr>
        <w:t>2</w:t>
      </w:r>
      <w:r>
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ГОСТ 10700;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для абсорбирующего слоя: распушенную целлюлозу и/или волокна других полуфабрикатов и суперабсорбент;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lastRenderedPageBreak/>
        <w:t>- для защитного слоя: полимерную пленку толщиной не более 30 мкм.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</w:p>
    <w:p w:rsidR="002B7948" w:rsidRPr="008864AD" w:rsidRDefault="002B7948" w:rsidP="002B7948">
      <w:pPr>
        <w:pStyle w:val="Standard"/>
        <w:tabs>
          <w:tab w:val="left" w:pos="708"/>
        </w:tabs>
        <w:ind w:firstLine="614"/>
        <w:jc w:val="both"/>
      </w:pPr>
      <w:r w:rsidRPr="008864AD">
        <w:t xml:space="preserve">Сырье и материалы для изготовления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 w:rsidRPr="00376B6A">
        <w:t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 w:rsidRPr="008864AD">
        <w:t xml:space="preserve">Маркировка упаковки </w:t>
      </w:r>
      <w:r w:rsidRPr="008864AD">
        <w:rPr>
          <w:rFonts w:eastAsia="Arial"/>
          <w:color w:val="000000"/>
          <w:spacing w:val="-4"/>
        </w:rPr>
        <w:t>изделий</w:t>
      </w:r>
      <w:r w:rsidRPr="008864AD">
        <w:t xml:space="preserve"> должна включать: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вид (вариант) технического исполнения подгузника;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номер артикула (при наличии);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количество подгузников в упаковке;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дата (месяц, год) изготовления;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штриховой код изделия (при наличии);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срок годности, устанавливаемый изготовителем;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- указания по утилизации подгузника: слова "Не бросать в канализацию" и(или) рисунок, понятно отображающий эти указания.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Допускается дополнять маркировку другими сведениями, например,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Допускается дату изготовления (месяц, год) и срок годности дополнительно проставлять на фронтальной ленте.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 должна быть вложена в каждую упаковку подгузника.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  <w:r>
        <w:t>Допускается перечисленную информацию наносить непосредственно на упаковку, если она будет являться исчерпывающей.</w:t>
      </w:r>
    </w:p>
    <w:p w:rsidR="002B7948" w:rsidRDefault="002B7948" w:rsidP="002B7948">
      <w:pPr>
        <w:pStyle w:val="Standard"/>
        <w:tabs>
          <w:tab w:val="left" w:pos="708"/>
        </w:tabs>
        <w:ind w:firstLine="614"/>
        <w:jc w:val="both"/>
      </w:pPr>
    </w:p>
    <w:p w:rsidR="002B7948" w:rsidRDefault="002B7948" w:rsidP="002B7948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>Подгузники по нескольку штук упаковывают в пакеты из полимерной пленки или пачки по ГОСТ 12303, или коробки по ГОСТ 12301,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</w:p>
    <w:p w:rsidR="002B7948" w:rsidRDefault="002B7948" w:rsidP="002B7948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2B7948" w:rsidRDefault="002B7948" w:rsidP="002B7948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  <w:r w:rsidRPr="001A41D9">
        <w:rPr>
          <w:rFonts w:eastAsia="Arial"/>
          <w:spacing w:val="-4"/>
        </w:rPr>
        <w:t>Не допускается механическое повреждение упаковки, открывающее доступ к поверхности подгузника.</w:t>
      </w:r>
    </w:p>
    <w:p w:rsidR="002B7948" w:rsidRPr="008200BE" w:rsidRDefault="002B7948" w:rsidP="002B7948">
      <w:pPr>
        <w:pStyle w:val="Standard"/>
        <w:tabs>
          <w:tab w:val="left" w:pos="708"/>
        </w:tabs>
        <w:autoSpaceDE w:val="0"/>
        <w:ind w:right="-17" w:firstLine="567"/>
        <w:jc w:val="both"/>
        <w:rPr>
          <w:rFonts w:eastAsia="Arial"/>
          <w:spacing w:val="-4"/>
        </w:rPr>
      </w:pPr>
    </w:p>
    <w:p w:rsidR="002B7948" w:rsidRPr="002B7948" w:rsidRDefault="002B7948" w:rsidP="002B7948">
      <w:pPr>
        <w:pStyle w:val="Standard"/>
        <w:tabs>
          <w:tab w:val="left" w:pos="708"/>
        </w:tabs>
        <w:autoSpaceDE w:val="0"/>
        <w:ind w:right="-17" w:firstLine="614"/>
        <w:jc w:val="both"/>
        <w:rPr>
          <w:rFonts w:eastAsia="Arial"/>
          <w:spacing w:val="-4"/>
        </w:rPr>
      </w:pPr>
      <w:r w:rsidRPr="002B7948">
        <w:rPr>
          <w:rFonts w:eastAsia="Arial"/>
          <w:spacing w:val="-4"/>
        </w:rPr>
        <w:lastRenderedPageBreak/>
        <w:t>Изделия должны соответствовать требованиям стандартов серии ГОСТ ISO 10993-1-2011 "Изделия медицинские. Оценка биологического действия медицинских изделий. Часть 1. Оценка и исследования".</w:t>
      </w:r>
    </w:p>
    <w:p w:rsidR="002B7948" w:rsidRPr="002B7948" w:rsidRDefault="002B7948" w:rsidP="002B7948">
      <w:pPr>
        <w:pStyle w:val="Standard"/>
        <w:tabs>
          <w:tab w:val="left" w:pos="708"/>
        </w:tabs>
        <w:autoSpaceDE w:val="0"/>
        <w:ind w:right="-17" w:firstLine="614"/>
        <w:jc w:val="both"/>
        <w:rPr>
          <w:rFonts w:eastAsia="Arial"/>
          <w:spacing w:val="-4"/>
        </w:rPr>
      </w:pPr>
      <w:r w:rsidRPr="002B7948">
        <w:rPr>
          <w:rFonts w:eastAsia="Arial"/>
          <w:spacing w:val="-4"/>
        </w:rPr>
        <w:t xml:space="preserve">Транспортирование – по ГОСТ 6658-75 (раздел 3) любым видом крытого транспорта в соответствии с правилами перевозки грузов, действующими на данном виде транспорта.  </w:t>
      </w:r>
    </w:p>
    <w:p w:rsidR="002B7948" w:rsidRDefault="002B7948" w:rsidP="002B7948">
      <w:pPr>
        <w:pStyle w:val="Standard"/>
        <w:tabs>
          <w:tab w:val="left" w:pos="708"/>
        </w:tabs>
        <w:autoSpaceDE w:val="0"/>
        <w:ind w:right="-17" w:firstLine="614"/>
        <w:jc w:val="both"/>
        <w:rPr>
          <w:color w:val="000000"/>
        </w:rPr>
      </w:pPr>
      <w:r w:rsidRPr="002B7948">
        <w:rPr>
          <w:color w:val="000000"/>
        </w:rPr>
        <w:t>Сроки предоставления гарантии качества технических средств реабилитации —</w:t>
      </w:r>
      <w:r w:rsidRPr="002B7948">
        <w:rPr>
          <w:rFonts w:eastAsia="Arial"/>
          <w:color w:val="000000"/>
          <w:spacing w:val="-4"/>
        </w:rPr>
        <w:t xml:space="preserve">подгузников детских, </w:t>
      </w:r>
      <w:r w:rsidRPr="002B7948">
        <w:rPr>
          <w:color w:val="000000"/>
        </w:rPr>
        <w:t xml:space="preserve">являются </w:t>
      </w:r>
      <w:bookmarkStart w:id="0" w:name="_GoBack"/>
      <w:bookmarkEnd w:id="0"/>
      <w:r w:rsidRPr="002B7948">
        <w:rPr>
          <w:color w:val="000000"/>
        </w:rPr>
        <w:t>продукцией одноразовой, в связи с чем, срок предоставления гарантии качества не устанавливается, но должен быть указан срок годности продукции и условия хранения.</w:t>
      </w:r>
    </w:p>
    <w:p w:rsidR="002B7948" w:rsidRDefault="002B7948" w:rsidP="006E671B">
      <w:pPr>
        <w:pStyle w:val="Standard"/>
        <w:shd w:val="clear" w:color="auto" w:fill="FFFFFF"/>
        <w:tabs>
          <w:tab w:val="left" w:pos="0"/>
        </w:tabs>
        <w:jc w:val="both"/>
        <w:rPr>
          <w:lang w:val="ru-RU"/>
        </w:rPr>
      </w:pPr>
    </w:p>
    <w:sectPr w:rsidR="002B79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1B" w:rsidRDefault="006E671B" w:rsidP="006E671B">
      <w:r>
        <w:separator/>
      </w:r>
    </w:p>
  </w:endnote>
  <w:endnote w:type="continuationSeparator" w:id="0">
    <w:p w:rsidR="006E671B" w:rsidRDefault="006E671B" w:rsidP="006E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975654"/>
      <w:docPartObj>
        <w:docPartGallery w:val="Page Numbers (Bottom of Page)"/>
        <w:docPartUnique/>
      </w:docPartObj>
    </w:sdtPr>
    <w:sdtEndPr/>
    <w:sdtContent>
      <w:p w:rsidR="006E671B" w:rsidRDefault="006E67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48">
          <w:rPr>
            <w:noProof/>
          </w:rPr>
          <w:t>3</w:t>
        </w:r>
        <w:r>
          <w:fldChar w:fldCharType="end"/>
        </w:r>
      </w:p>
    </w:sdtContent>
  </w:sdt>
  <w:p w:rsidR="006E671B" w:rsidRDefault="006E6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1B" w:rsidRDefault="006E671B" w:rsidP="006E671B">
      <w:r>
        <w:separator/>
      </w:r>
    </w:p>
  </w:footnote>
  <w:footnote w:type="continuationSeparator" w:id="0">
    <w:p w:rsidR="006E671B" w:rsidRDefault="006E671B" w:rsidP="006E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7"/>
    <w:rsid w:val="00145E91"/>
    <w:rsid w:val="002B7948"/>
    <w:rsid w:val="00302EF6"/>
    <w:rsid w:val="006E671B"/>
    <w:rsid w:val="00C874FD"/>
    <w:rsid w:val="00F10D08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F6D4D-9BA5-4A26-8BB9-0E4DB1A0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E671B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71B"/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character" w:customStyle="1" w:styleId="2">
    <w:name w:val="Основной шрифт абзаца2"/>
    <w:rsid w:val="006E671B"/>
  </w:style>
  <w:style w:type="paragraph" w:customStyle="1" w:styleId="Standard">
    <w:name w:val="Standard"/>
    <w:rsid w:val="006E671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header"/>
    <w:basedOn w:val="a"/>
    <w:link w:val="a4"/>
    <w:uiPriority w:val="99"/>
    <w:unhideWhenUsed/>
    <w:rsid w:val="006E6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7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E6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671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Ирина Владимировна</dc:creator>
  <cp:keywords/>
  <dc:description/>
  <cp:lastModifiedBy>Гусева Елена Александровна</cp:lastModifiedBy>
  <cp:revision>5</cp:revision>
  <dcterms:created xsi:type="dcterms:W3CDTF">2017-12-07T14:06:00Z</dcterms:created>
  <dcterms:modified xsi:type="dcterms:W3CDTF">2018-08-02T08:03:00Z</dcterms:modified>
</cp:coreProperties>
</file>