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64" w:rsidRDefault="00663364" w:rsidP="00663364">
      <w:pPr>
        <w:pStyle w:val="a3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ТЕХНИЧЕСКОЕ ЗАДАНИЕ</w:t>
      </w:r>
    </w:p>
    <w:p w:rsidR="00663364" w:rsidRPr="005269A8" w:rsidRDefault="00663364" w:rsidP="00663364">
      <w:pPr>
        <w:keepNext/>
        <w:keepLines/>
        <w:ind w:left="567"/>
        <w:jc w:val="center"/>
        <w:rPr>
          <w:b/>
          <w:lang w:eastAsia="en-US"/>
        </w:rPr>
      </w:pPr>
      <w:r>
        <w:rPr>
          <w:sz w:val="22"/>
          <w:szCs w:val="22"/>
          <w:lang w:bidi="ru-RU"/>
        </w:rPr>
        <w:tab/>
      </w:r>
      <w:r w:rsidRPr="005269A8">
        <w:rPr>
          <w:b/>
        </w:rPr>
        <w:t xml:space="preserve">Поставка подгузников для взрослых инвалидов в 2018 году </w:t>
      </w:r>
    </w:p>
    <w:p w:rsidR="00663364" w:rsidRPr="00880E5A" w:rsidRDefault="00663364" w:rsidP="00663364">
      <w:pPr>
        <w:keepNext/>
        <w:keepLines/>
        <w:suppressAutoHyphens/>
        <w:jc w:val="both"/>
      </w:pPr>
      <w:r w:rsidRPr="00880E5A">
        <w:t>Поставщик должен осуществлять поставку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63364" w:rsidRPr="00880E5A" w:rsidRDefault="00663364" w:rsidP="00663364">
      <w:pPr>
        <w:widowControl w:val="0"/>
        <w:jc w:val="both"/>
        <w:rPr>
          <w:bCs/>
        </w:rPr>
      </w:pPr>
      <w:r w:rsidRPr="00880E5A">
        <w:rPr>
          <w:b/>
        </w:rPr>
        <w:t>Способ определения исполнителя (подрядчика, поставщика):</w:t>
      </w:r>
      <w:r>
        <w:rPr>
          <w:b/>
        </w:rPr>
        <w:t xml:space="preserve"> </w:t>
      </w:r>
      <w:r>
        <w:rPr>
          <w:color w:val="000000"/>
        </w:rPr>
        <w:t>аукцион в электронной форме</w:t>
      </w:r>
      <w:r w:rsidRPr="00880E5A">
        <w:rPr>
          <w:bCs/>
        </w:rPr>
        <w:t>.</w:t>
      </w:r>
    </w:p>
    <w:p w:rsidR="00663364" w:rsidRPr="00880E5A" w:rsidRDefault="00663364" w:rsidP="00663364">
      <w:pPr>
        <w:jc w:val="both"/>
        <w:rPr>
          <w:bCs/>
        </w:rPr>
      </w:pPr>
      <w:r w:rsidRPr="00880E5A">
        <w:rPr>
          <w:b/>
        </w:rPr>
        <w:t>Наименование объекта закупки:</w:t>
      </w:r>
      <w:r>
        <w:rPr>
          <w:b/>
        </w:rPr>
        <w:t xml:space="preserve"> </w:t>
      </w:r>
      <w:r w:rsidRPr="00880E5A">
        <w:rPr>
          <w:bCs/>
        </w:rPr>
        <w:t>поставк</w:t>
      </w:r>
      <w:r>
        <w:rPr>
          <w:bCs/>
        </w:rPr>
        <w:t>а</w:t>
      </w:r>
      <w:r w:rsidRPr="00880E5A">
        <w:rPr>
          <w:bCs/>
        </w:rPr>
        <w:t xml:space="preserve"> подгузников для взрослых для инвалидов в 2018 году..</w:t>
      </w:r>
    </w:p>
    <w:p w:rsidR="00663364" w:rsidRPr="00880E5A" w:rsidRDefault="00663364" w:rsidP="00663364">
      <w:pPr>
        <w:jc w:val="both"/>
        <w:rPr>
          <w:bCs/>
        </w:rPr>
      </w:pPr>
      <w:r w:rsidRPr="00880E5A">
        <w:rPr>
          <w:b/>
        </w:rPr>
        <w:t>Количество поставляемого товара (объем выполняемых работ, оказываемых услуг):</w:t>
      </w:r>
      <w:r w:rsidRPr="00476E4A">
        <w:rPr>
          <w:b/>
          <w:bCs/>
          <w:sz w:val="22"/>
          <w:szCs w:val="22"/>
        </w:rPr>
        <w:t xml:space="preserve"> 2 252</w:t>
      </w:r>
      <w:r>
        <w:rPr>
          <w:b/>
          <w:bCs/>
          <w:sz w:val="22"/>
          <w:szCs w:val="22"/>
        </w:rPr>
        <w:t> </w:t>
      </w:r>
      <w:r w:rsidRPr="00476E4A">
        <w:rPr>
          <w:b/>
          <w:bCs/>
          <w:sz w:val="22"/>
          <w:szCs w:val="22"/>
        </w:rPr>
        <w:t>489</w:t>
      </w:r>
      <w:r>
        <w:rPr>
          <w:b/>
          <w:bCs/>
          <w:sz w:val="22"/>
          <w:szCs w:val="22"/>
        </w:rPr>
        <w:t> </w:t>
      </w:r>
      <w:r w:rsidRPr="00880E5A">
        <w:rPr>
          <w:bCs/>
        </w:rPr>
        <w:t>изделий.</w:t>
      </w:r>
    </w:p>
    <w:p w:rsidR="00663364" w:rsidRPr="005269A8" w:rsidRDefault="00663364" w:rsidP="00663364">
      <w:pPr>
        <w:widowControl w:val="0"/>
        <w:ind w:right="-62"/>
        <w:jc w:val="both"/>
      </w:pPr>
      <w:r w:rsidRPr="005269A8">
        <w:rPr>
          <w:b/>
        </w:rPr>
        <w:t xml:space="preserve">Срок поставки Изделий: </w:t>
      </w:r>
      <w:r w:rsidRPr="005269A8">
        <w:t xml:space="preserve">Поставка осуществляется в течение </w:t>
      </w:r>
      <w:r>
        <w:t>7</w:t>
      </w:r>
      <w:r w:rsidRPr="005269A8">
        <w:t xml:space="preserve"> (</w:t>
      </w:r>
      <w:r>
        <w:t>семи</w:t>
      </w:r>
      <w:r w:rsidRPr="005269A8">
        <w:t xml:space="preserve">) </w:t>
      </w:r>
      <w:r>
        <w:t>календарных</w:t>
      </w:r>
      <w:r w:rsidRPr="005269A8">
        <w:t xml:space="preserve"> дней с даты направления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663364" w:rsidRPr="005269A8" w:rsidRDefault="00663364" w:rsidP="00663364">
      <w:pPr>
        <w:widowControl w:val="0"/>
        <w:ind w:right="-62"/>
        <w:jc w:val="both"/>
        <w:rPr>
          <w:b/>
        </w:rPr>
      </w:pPr>
      <w:r w:rsidRPr="005269A8">
        <w:rPr>
          <w:b/>
        </w:rPr>
        <w:t xml:space="preserve">Срок действия Контракта: </w:t>
      </w:r>
      <w:r w:rsidRPr="005269A8">
        <w:t>контракт вступает в силу с даты подписания контракта и действует до 25 декабря 2018 года.</w:t>
      </w:r>
    </w:p>
    <w:p w:rsidR="00663364" w:rsidRPr="005269A8" w:rsidRDefault="00663364" w:rsidP="00663364">
      <w:pPr>
        <w:widowControl w:val="0"/>
        <w:ind w:right="-62"/>
        <w:jc w:val="both"/>
      </w:pPr>
      <w:r w:rsidRPr="005269A8">
        <w:rPr>
          <w:b/>
        </w:rPr>
        <w:t xml:space="preserve">Место поставки Изделий: </w:t>
      </w:r>
      <w:r w:rsidRPr="005269A8">
        <w:t>Способы выдачи Изделий получателям (способ доставки): выдача Изделий получателям осуществляется исключительно по выбору Получателя, а именно:</w:t>
      </w:r>
    </w:p>
    <w:p w:rsidR="00663364" w:rsidRPr="005269A8" w:rsidRDefault="00663364" w:rsidP="00663364">
      <w:pPr>
        <w:widowControl w:val="0"/>
        <w:ind w:right="-62"/>
        <w:jc w:val="both"/>
      </w:pPr>
      <w:r w:rsidRPr="005269A8"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</w:t>
      </w:r>
      <w:r>
        <w:t>ых</w:t>
      </w:r>
      <w:r w:rsidRPr="005269A8">
        <w:t xml:space="preserve"> границ субъект</w:t>
      </w:r>
      <w:r>
        <w:t>ов</w:t>
      </w:r>
      <w:r w:rsidRPr="005269A8">
        <w:t xml:space="preserve"> Федерации – </w:t>
      </w:r>
      <w:r>
        <w:t xml:space="preserve">Москвы и </w:t>
      </w:r>
      <w:r w:rsidRPr="005269A8">
        <w:t>Московской области;</w:t>
      </w:r>
    </w:p>
    <w:p w:rsidR="00663364" w:rsidRPr="005269A8" w:rsidRDefault="00663364" w:rsidP="00663364">
      <w:pPr>
        <w:widowControl w:val="0"/>
        <w:ind w:right="-62"/>
        <w:jc w:val="both"/>
      </w:pPr>
      <w:r w:rsidRPr="005269A8">
        <w:t>или</w:t>
      </w:r>
    </w:p>
    <w:p w:rsidR="00663364" w:rsidRPr="005269A8" w:rsidRDefault="00663364" w:rsidP="00663364">
      <w:pPr>
        <w:jc w:val="both"/>
      </w:pPr>
      <w:r w:rsidRPr="005269A8">
        <w:t>- в пунктах выдачи изделий согласно Техническому задан</w:t>
      </w:r>
      <w:r>
        <w:t>ию и приложению № 2 к</w:t>
      </w:r>
      <w:r w:rsidRPr="005269A8">
        <w:t xml:space="preserve"> Контракту, организованных Поставщиком в пределах </w:t>
      </w:r>
      <w:r w:rsidRPr="00687732">
        <w:t>административных границ субъектов Федерации – Москвы и Московской области</w:t>
      </w:r>
      <w:r w:rsidRPr="005269A8">
        <w:t>.</w:t>
      </w:r>
    </w:p>
    <w:p w:rsidR="00663364" w:rsidRPr="00313279" w:rsidRDefault="00663364" w:rsidP="0066336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50910">
        <w:rPr>
          <w:b/>
          <w:bCs/>
        </w:rPr>
        <w:t>Источник финансирования:</w:t>
      </w:r>
      <w:r w:rsidRPr="00313279">
        <w:rPr>
          <w:bCs/>
        </w:rPr>
        <w:t xml:space="preserve"> за счет средств, выделенных из федерального бюджета.</w:t>
      </w:r>
    </w:p>
    <w:p w:rsidR="00663364" w:rsidRPr="00476E4A" w:rsidRDefault="00663364" w:rsidP="00663364">
      <w:pPr>
        <w:jc w:val="both"/>
        <w:rPr>
          <w:b/>
          <w:bCs/>
        </w:rPr>
      </w:pPr>
      <w:r w:rsidRPr="00476E4A">
        <w:rPr>
          <w:b/>
          <w:bCs/>
        </w:rPr>
        <w:t>Начальная (максимальная) цена Контракта</w:t>
      </w:r>
      <w:r w:rsidRPr="00476E4A">
        <w:rPr>
          <w:rFonts w:eastAsia="Calibri"/>
          <w:b/>
          <w:bCs/>
          <w:color w:val="000000"/>
          <w:sz w:val="22"/>
          <w:szCs w:val="22"/>
        </w:rPr>
        <w:t xml:space="preserve">: </w:t>
      </w:r>
      <w:r w:rsidRPr="00476E4A">
        <w:rPr>
          <w:b/>
          <w:bCs/>
        </w:rPr>
        <w:t xml:space="preserve">76 797 354 (семьдесят шесть миллионов семьсот девяносто семь тысяч триста пятьдесят четыре) рубля 00 копеек.   </w:t>
      </w:r>
    </w:p>
    <w:p w:rsidR="00663364" w:rsidRPr="00476E4A" w:rsidRDefault="00663364" w:rsidP="00663364">
      <w:pPr>
        <w:widowControl w:val="0"/>
        <w:jc w:val="both"/>
        <w:rPr>
          <w:bCs/>
        </w:rPr>
      </w:pPr>
      <w:r w:rsidRPr="00476E4A">
        <w:t>В цену Контракта включаются все расходы по исполнению Контракта, в т.ч. стоимость упаковки, предпродажная подготовка, транспортные расходы, хранение, таможенные пошлины, налоги,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</w:p>
    <w:p w:rsidR="00663364" w:rsidRPr="00EC77B7" w:rsidRDefault="00663364" w:rsidP="00663364">
      <w:pPr>
        <w:widowControl w:val="0"/>
        <w:jc w:val="both"/>
        <w:rPr>
          <w:b/>
          <w:bCs/>
        </w:rPr>
      </w:pPr>
      <w:r w:rsidRPr="00476E4A">
        <w:rPr>
          <w:b/>
          <w:bCs/>
        </w:rPr>
        <w:t>Требование обеспечения исполнения контракта:</w:t>
      </w:r>
      <w:r w:rsidRPr="00476E4A">
        <w:rPr>
          <w:bCs/>
        </w:rPr>
        <w:t xml:space="preserve"> размер обеспечения составляет 30% от начальной (максимальной) цены контракты </w:t>
      </w:r>
      <w:r w:rsidRPr="00476E4A">
        <w:rPr>
          <w:b/>
          <w:bCs/>
        </w:rPr>
        <w:t>23 039 206 (двадцать три миллиона тридцать девять тысяч двести шесть) рублей 20 копеек.</w:t>
      </w:r>
    </w:p>
    <w:p w:rsidR="00663364" w:rsidRPr="005269A8" w:rsidRDefault="00663364" w:rsidP="00663364">
      <w:pPr>
        <w:widowControl w:val="0"/>
        <w:jc w:val="both"/>
        <w:rPr>
          <w:b/>
          <w:bCs/>
        </w:rPr>
      </w:pPr>
      <w:r w:rsidRPr="005269A8">
        <w:rPr>
          <w:b/>
          <w:bCs/>
        </w:rPr>
        <w:t>1. Порядок выдачи Изделий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lastRenderedPageBreak/>
        <w:t xml:space="preserve">1.1. Выдавать Изделия через пункты </w:t>
      </w:r>
      <w:r>
        <w:rPr>
          <w:bCs/>
        </w:rPr>
        <w:t>выдачи</w:t>
      </w:r>
      <w:r w:rsidRPr="005269A8">
        <w:rPr>
          <w:bCs/>
        </w:rPr>
        <w:t>, организованные Поставщиком в соответствии с пунктом 1.4.1 – 1.4.10 технического задания.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1.2. Доставлять Изделия по адресам местожительства Получателей.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1.3. Передача Изделий не может превышать количество указанное в направлении.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 xml:space="preserve">1.4. Передавать Изделия Получателям по месту нахождения пунктов </w:t>
      </w:r>
      <w:r>
        <w:rPr>
          <w:bCs/>
        </w:rPr>
        <w:t>выдачи</w:t>
      </w:r>
      <w:r w:rsidRPr="005269A8">
        <w:rPr>
          <w:bCs/>
        </w:rPr>
        <w:t>, организованных Поставщиком, в день обращения Получателя.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 xml:space="preserve">1.4.1.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 xml:space="preserve">1.4.2.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не менее чем в 20 различных районах (административных (муниципальных) районах) субъекта. Количество пунктов в районе (административном (муниципальном) районе) субъекта – не менее одного.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1.4.3. Площадь каждого из пунктов, предназначенная для приёма и ожидания Получателей в очереди, должна быть не менее 50 квадратных метров.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1.4.4. Каждый из пунктов должен иметь туалетную комнату со свободным доступом туда Получателей.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1.4.5. Каждый из пунктов должен быть оборудован местами для ожидания Получателями в сидячем положении.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 xml:space="preserve">1.4.6. Пункты </w:t>
      </w:r>
      <w:r>
        <w:rPr>
          <w:bCs/>
        </w:rPr>
        <w:t>выдачи</w:t>
      </w:r>
      <w:r w:rsidRPr="005269A8">
        <w:rPr>
          <w:bCs/>
        </w:rPr>
        <w:t xml:space="preserve">, не должны располагаться в жилых помещениях (квартирах). 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 xml:space="preserve">1.4.7.  Пункты </w:t>
      </w:r>
      <w:r>
        <w:rPr>
          <w:bCs/>
        </w:rPr>
        <w:t>выдачи</w:t>
      </w:r>
      <w:r w:rsidRPr="005269A8">
        <w:rPr>
          <w:bCs/>
        </w:rPr>
        <w:t>, должны располагаться не выше первого этажа здания.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1.4.8. Каждый пункт должен иметь режим работы не менее чем с 10:00 до 18:00, с понедельника по пятницу.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 xml:space="preserve">1.4.9. На каждом пункте </w:t>
      </w:r>
      <w:r>
        <w:rPr>
          <w:bCs/>
        </w:rPr>
        <w:t>выдачи</w:t>
      </w:r>
      <w:r w:rsidRPr="005269A8">
        <w:rPr>
          <w:bCs/>
        </w:rPr>
        <w:t xml:space="preserve">, с уличной стороны, рядом со входом в пункт </w:t>
      </w:r>
      <w:r>
        <w:rPr>
          <w:bCs/>
        </w:rPr>
        <w:t>выдачи</w:t>
      </w:r>
      <w:r w:rsidRPr="005269A8">
        <w:rPr>
          <w:bCs/>
        </w:rPr>
        <w:t>, должна висеть вывеска (табличка) с надписью: «Пункт выдачи, технических средств реабилитации для инвалидов».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 xml:space="preserve">1.4.10.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на момент заключения контракта.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1.4.10.1. Адреса и график работы пунктов должны быть указаны в приложении к государственному контракту.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 xml:space="preserve">1.4.11. Обеспечить наличие Изделий в каждом пункте </w:t>
      </w:r>
      <w:r>
        <w:rPr>
          <w:bCs/>
        </w:rPr>
        <w:t>выдачи</w:t>
      </w:r>
      <w:r w:rsidRPr="005269A8">
        <w:rPr>
          <w:bCs/>
        </w:rPr>
        <w:t xml:space="preserve"> для выбора Получателями на день, следующий за днем заключения Контракта, в равных пропорциях, предусмотренных в Контракте, по наименованиям и типам Изделий. При этом типы, размерный ряд Изделий должны быть в равном процентном соотношении друг к другу в пределах каждого наименования. В рамках исполнения Контракта в пунктах </w:t>
      </w:r>
      <w:r>
        <w:rPr>
          <w:bCs/>
        </w:rPr>
        <w:t>выдачи</w:t>
      </w:r>
      <w:r w:rsidRPr="005269A8">
        <w:rPr>
          <w:bCs/>
        </w:rPr>
        <w:t xml:space="preserve"> ежедневно должны находиться Изделия всех наименований и размеров до полной выдачи Изделий каждого наименования.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1.5. Доставка по адресам места жительства Получателей.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 xml:space="preserve"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</w:t>
      </w:r>
      <w:r w:rsidRPr="005269A8">
        <w:rPr>
          <w:bCs/>
        </w:rPr>
        <w:lastRenderedPageBreak/>
        <w:t>в пределах административной границы Московской области, в соответствии с адресами, указанными в Реестрах.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1.5.2. Объем доставляемых на дом Изделий должен определятся согласно полученным реестрам направленных Заказчиком.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rPr>
          <w:bCs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663364" w:rsidRPr="005269A8" w:rsidRDefault="00663364" w:rsidP="00663364">
      <w:pPr>
        <w:pStyle w:val="a6"/>
        <w:numPr>
          <w:ilvl w:val="0"/>
          <w:numId w:val="1"/>
        </w:numPr>
        <w:rPr>
          <w:b/>
          <w:bCs/>
          <w:kern w:val="1"/>
          <w:sz w:val="24"/>
          <w:szCs w:val="28"/>
          <w:lang w:eastAsia="ar-SA"/>
        </w:rPr>
      </w:pPr>
      <w:r w:rsidRPr="005269A8">
        <w:rPr>
          <w:b/>
          <w:sz w:val="24"/>
        </w:rPr>
        <w:t>Требования к техническим и к функциональным характеристикам товара.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Классификация абсорбирующего белья и подгузников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 xml:space="preserve">Подгузники для взрослых должны быть изготовлены в виде раскроя трусов с фиксирующими элементами. 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Подгузники для взрослых должны быть изготовлены в соответствии с требованиями раздела 5 ГОСТ Р 55082-2012 «Изделия бумажные медицинского назначения. Подгузники для взрослых. Общие технические условия» по технической документации на конкретный подгузник и/или группу подгузников.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  <w:lang w:eastAsia="ar-SA"/>
        </w:rPr>
      </w:pPr>
      <w:r w:rsidRPr="005269A8">
        <w:rPr>
          <w:sz w:val="24"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спинке. Подгузники должны быть предназначены для ночного и дневного применения. Должны иметь эластичный пояс, водонепроницаемые защитные барьеры по бокам, препятствующие протеканию.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Система впитывания многослойная. Верхний слой - текстильная нетканая поверхность. Наружная поверхность подгузника должна быть изготовлена из специального гипоаллергенного нетканого гидрофобного материала с функцией паропроницаемости/«дышащего». Внутренняя поверхность - гипоаллергенный нетканый материал, пропускает влагу в одном направлении, и обеспечивает сухость кожи, дополнительную защиту кожи от раздражения. Впитывающий слой - распушенная целлюлоза с суперабсорбирующим полимером, превращающим жидкость в гель. Весь наружный (защитный) материал не должен содержать пленку как снаружи, так и внутри.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663364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lastRenderedPageBreak/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  <w:r w:rsidRPr="00FD46D0">
        <w:rPr>
          <w:sz w:val="24"/>
        </w:rPr>
        <w:t xml:space="preserve"> </w:t>
      </w:r>
    </w:p>
    <w:p w:rsidR="00663364" w:rsidRPr="00A75589" w:rsidRDefault="00663364" w:rsidP="00663364">
      <w:pPr>
        <w:pStyle w:val="a6"/>
        <w:ind w:firstLine="567"/>
        <w:jc w:val="both"/>
        <w:rPr>
          <w:sz w:val="24"/>
        </w:rPr>
      </w:pPr>
      <w:r w:rsidRPr="003C4ABF">
        <w:rPr>
          <w:sz w:val="24"/>
        </w:rPr>
        <w:t>Технические характеристики поставляемого</w:t>
      </w:r>
      <w:r w:rsidRPr="00326E34">
        <w:rPr>
          <w:sz w:val="24"/>
        </w:rPr>
        <w:t xml:space="preserve"> товара должны соответствовать или превосходить характеристики, указанные в техническом задании.</w:t>
      </w:r>
    </w:p>
    <w:p w:rsidR="00663364" w:rsidRDefault="00663364" w:rsidP="00663364">
      <w:pPr>
        <w:jc w:val="both"/>
      </w:pPr>
      <w:r>
        <w:t>2</w:t>
      </w:r>
      <w:r w:rsidRPr="008109CA">
        <w:t xml:space="preserve">.1. </w:t>
      </w:r>
      <w: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663364" w:rsidRDefault="00663364" w:rsidP="00663364">
      <w:pPr>
        <w:jc w:val="both"/>
      </w:pPr>
      <w:r>
        <w:t>2</w:t>
      </w:r>
      <w:r w:rsidRPr="0074609E">
        <w:t>.2.</w:t>
      </w:r>
      <w:r>
        <w:t xml:space="preserve"> </w:t>
      </w:r>
      <w:r w:rsidRPr="0074609E">
        <w:t>Подгузники для взрослых должны соответствовать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663364" w:rsidRPr="008109CA" w:rsidRDefault="00663364" w:rsidP="00663364">
      <w:pPr>
        <w:jc w:val="both"/>
      </w:pPr>
      <w:r>
        <w:t xml:space="preserve">2.3. </w:t>
      </w:r>
      <w:r w:rsidRPr="00F016DD">
        <w:t>Изделия должны быть новыми. Изделия должны быть свободными от прав третьих лиц</w:t>
      </w:r>
      <w:r w:rsidRPr="008109CA">
        <w:t>.</w:t>
      </w:r>
    </w:p>
    <w:p w:rsidR="00663364" w:rsidRDefault="00663364" w:rsidP="00663364">
      <w:pPr>
        <w:widowControl w:val="0"/>
        <w:shd w:val="clear" w:color="auto" w:fill="FFFFFF"/>
        <w:tabs>
          <w:tab w:val="left" w:pos="5730"/>
        </w:tabs>
        <w:ind w:right="23" w:hanging="2080"/>
        <w:rPr>
          <w:sz w:val="22"/>
          <w:szCs w:val="22"/>
          <w:lang w:bidi="ru-RU"/>
        </w:rPr>
      </w:pPr>
      <w:r>
        <w:t>2.4</w:t>
      </w:r>
      <w:r w:rsidRPr="008109CA">
        <w:t xml:space="preserve">. </w:t>
      </w:r>
      <w:r>
        <w:t xml:space="preserve">      2.4. </w:t>
      </w:r>
      <w:r>
        <w:rPr>
          <w:lang w:eastAsia="ar-SA"/>
        </w:rPr>
        <w:t>Изделие должно</w:t>
      </w:r>
      <w:r w:rsidRPr="008109CA">
        <w:rPr>
          <w:lang w:eastAsia="ar-SA"/>
        </w:rPr>
        <w:t xml:space="preserve"> отвечать следующим требованиям</w:t>
      </w:r>
      <w:r w:rsidRPr="008109CA">
        <w:rPr>
          <w:rStyle w:val="a5"/>
          <w:rFonts w:eastAsia="Calibri"/>
        </w:rPr>
        <w:t xml:space="preserve"> </w:t>
      </w:r>
      <w:r w:rsidRPr="008109CA">
        <w:rPr>
          <w:rStyle w:val="a5"/>
          <w:rFonts w:eastAsia="Calibri"/>
        </w:rPr>
        <w:footnoteReference w:id="1"/>
      </w:r>
      <w:r w:rsidRPr="008109CA"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611"/>
        <w:gridCol w:w="2285"/>
        <w:gridCol w:w="1701"/>
        <w:gridCol w:w="2552"/>
        <w:gridCol w:w="1134"/>
      </w:tblGrid>
      <w:tr w:rsidR="00663364" w:rsidRPr="00B70232" w:rsidTr="00C47BF3">
        <w:trPr>
          <w:jc w:val="center"/>
        </w:trPr>
        <w:tc>
          <w:tcPr>
            <w:tcW w:w="640" w:type="dxa"/>
            <w:shd w:val="clear" w:color="auto" w:fill="auto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№ п/п</w:t>
            </w:r>
          </w:p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widowControl w:val="0"/>
              <w:suppressAutoHyphens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134" w:type="dxa"/>
            <w:shd w:val="clear" w:color="auto" w:fill="auto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  <w:rPr>
                <w:lang w:val="en-US"/>
              </w:rPr>
            </w:pPr>
            <w:r w:rsidRPr="00B70232">
              <w:rPr>
                <w:sz w:val="22"/>
                <w:szCs w:val="22"/>
              </w:rPr>
              <w:t>Количество Изделий</w:t>
            </w: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</w:t>
            </w:r>
            <w:r w:rsidRPr="00B70232">
              <w:rPr>
                <w:sz w:val="22"/>
                <w:szCs w:val="22"/>
                <w:lang w:val="en-US" w:eastAsia="en-US"/>
              </w:rPr>
              <w:t>S</w:t>
            </w:r>
            <w:r w:rsidRPr="00B7023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  <w:r w:rsidRPr="00476E4A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 xml:space="preserve"> </w:t>
            </w:r>
            <w:r w:rsidRPr="00476E4A">
              <w:rPr>
                <w:sz w:val="22"/>
                <w:szCs w:val="22"/>
              </w:rPr>
              <w:t>400</w:t>
            </w: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snapToGrid w:val="0"/>
              <w:jc w:val="center"/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 xml:space="preserve">Полное влагопоглощение каждого из Изделий, обеспечивающих </w:t>
            </w:r>
            <w:r w:rsidRPr="00B70232">
              <w:rPr>
                <w:sz w:val="22"/>
                <w:szCs w:val="22"/>
              </w:rPr>
              <w:lastRenderedPageBreak/>
              <w:t>возможность их использования инвалидами с обхватом талии/бедер до 90см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lastRenderedPageBreak/>
              <w:t>не менее 1400 г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Приказ Министерства труда и социальной защиты РФ от </w:t>
            </w:r>
            <w:r>
              <w:t>13 февраля 2018</w:t>
            </w:r>
            <w:r w:rsidRPr="00B70232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86</w:t>
            </w:r>
            <w:r w:rsidRPr="00B70232">
              <w:rPr>
                <w:sz w:val="22"/>
                <w:szCs w:val="22"/>
              </w:rPr>
              <w:t xml:space="preserve">н, </w:t>
            </w:r>
            <w:r w:rsidRPr="00B70232">
              <w:rPr>
                <w:sz w:val="22"/>
                <w:szCs w:val="22"/>
              </w:rPr>
              <w:lastRenderedPageBreak/>
              <w:t>индивидуальные параметры получателя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snapToGrid w:val="0"/>
              <w:spacing w:line="240" w:lineRule="atLeast"/>
              <w:jc w:val="center"/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63364" w:rsidRPr="00B70232" w:rsidRDefault="00663364" w:rsidP="00C47BF3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«М»</w:t>
            </w: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</w:pPr>
            <w:r w:rsidRPr="00476E4A">
              <w:rPr>
                <w:sz w:val="22"/>
                <w:szCs w:val="22"/>
              </w:rPr>
              <w:t>655</w:t>
            </w:r>
            <w:r>
              <w:rPr>
                <w:sz w:val="22"/>
                <w:szCs w:val="22"/>
              </w:rPr>
              <w:t xml:space="preserve"> </w:t>
            </w:r>
            <w:r w:rsidRPr="00476E4A">
              <w:rPr>
                <w:sz w:val="22"/>
                <w:szCs w:val="22"/>
              </w:rPr>
              <w:t>800</w:t>
            </w: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snapToGrid w:val="0"/>
              <w:jc w:val="center"/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120см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snapToGrid w:val="0"/>
              <w:jc w:val="center"/>
            </w:pPr>
            <w:r w:rsidRPr="00B70232">
              <w:rPr>
                <w:sz w:val="22"/>
                <w:szCs w:val="22"/>
              </w:rPr>
              <w:t>не менее 1800 г</w:t>
            </w:r>
          </w:p>
          <w:p w:rsidR="00663364" w:rsidRPr="00B70232" w:rsidRDefault="00663364" w:rsidP="00C47BF3">
            <w:pPr>
              <w:jc w:val="center"/>
            </w:pP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Приказ Министерства труда и социальной защиты РФ от </w:t>
            </w:r>
            <w:r>
              <w:t>13 февраля 2018</w:t>
            </w:r>
            <w:r w:rsidRPr="00B70232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86</w:t>
            </w:r>
            <w:r w:rsidRPr="00B70232">
              <w:rPr>
                <w:sz w:val="22"/>
                <w:szCs w:val="22"/>
              </w:rPr>
              <w:t>н, индивидуальные параметры получателя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snapToGrid w:val="0"/>
              <w:spacing w:line="240" w:lineRule="atLeast"/>
              <w:jc w:val="center"/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63364" w:rsidRPr="00B70232" w:rsidRDefault="00663364" w:rsidP="00C47BF3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</w:t>
            </w:r>
            <w:r w:rsidRPr="00B70232">
              <w:rPr>
                <w:sz w:val="22"/>
                <w:szCs w:val="22"/>
                <w:lang w:val="en-US" w:eastAsia="en-US"/>
              </w:rPr>
              <w:t>L</w:t>
            </w:r>
            <w:r w:rsidRPr="00B7023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гелеобразующие влагопоглощающие </w:t>
            </w:r>
            <w:r w:rsidRPr="00B70232">
              <w:rPr>
                <w:sz w:val="22"/>
                <w:szCs w:val="22"/>
              </w:rPr>
              <w:lastRenderedPageBreak/>
              <w:t>вещества (суперабсорбенты)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</w:pPr>
            <w:r w:rsidRPr="00476E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476E4A">
              <w:rPr>
                <w:sz w:val="22"/>
                <w:szCs w:val="22"/>
              </w:rPr>
              <w:t>078</w:t>
            </w:r>
            <w:r>
              <w:rPr>
                <w:sz w:val="22"/>
                <w:szCs w:val="22"/>
              </w:rPr>
              <w:t xml:space="preserve"> </w:t>
            </w:r>
            <w:r w:rsidRPr="00476E4A">
              <w:rPr>
                <w:sz w:val="22"/>
                <w:szCs w:val="22"/>
              </w:rPr>
              <w:t>139</w:t>
            </w: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snapToGrid w:val="0"/>
              <w:jc w:val="center"/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150см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snapToGrid w:val="0"/>
              <w:jc w:val="center"/>
            </w:pPr>
            <w:r w:rsidRPr="00B70232">
              <w:rPr>
                <w:sz w:val="22"/>
                <w:szCs w:val="22"/>
              </w:rPr>
              <w:t>не менее 2000 г</w:t>
            </w:r>
          </w:p>
          <w:p w:rsidR="00663364" w:rsidRPr="00B70232" w:rsidRDefault="00663364" w:rsidP="00C47BF3">
            <w:pPr>
              <w:jc w:val="center"/>
            </w:pP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Приказ Министерства труда и социальной защиты РФ от </w:t>
            </w:r>
            <w:r>
              <w:t>13 февраля 2018</w:t>
            </w:r>
            <w:r w:rsidRPr="00B70232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86</w:t>
            </w:r>
            <w:r w:rsidRPr="00B70232">
              <w:rPr>
                <w:sz w:val="22"/>
                <w:szCs w:val="22"/>
              </w:rPr>
              <w:t>н, индивидуальные параметры получателя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snapToGrid w:val="0"/>
              <w:spacing w:line="240" w:lineRule="atLeast"/>
              <w:jc w:val="center"/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63364" w:rsidRPr="00B70232" w:rsidRDefault="00663364" w:rsidP="00C47BF3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 w:val="restart"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«XL»</w:t>
            </w: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</w:pPr>
            <w:r w:rsidRPr="00476E4A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 xml:space="preserve"> </w:t>
            </w:r>
            <w:r w:rsidRPr="00476E4A">
              <w:rPr>
                <w:sz w:val="22"/>
                <w:szCs w:val="22"/>
              </w:rPr>
              <w:t>150</w:t>
            </w: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snapToGrid w:val="0"/>
              <w:jc w:val="center"/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175см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snapToGrid w:val="0"/>
              <w:jc w:val="center"/>
            </w:pPr>
            <w:r w:rsidRPr="00B70232">
              <w:rPr>
                <w:sz w:val="22"/>
                <w:szCs w:val="22"/>
              </w:rPr>
              <w:t>не менее 2800 г</w:t>
            </w:r>
          </w:p>
          <w:p w:rsidR="00663364" w:rsidRPr="00B70232" w:rsidRDefault="00663364" w:rsidP="00C47BF3">
            <w:pPr>
              <w:jc w:val="center"/>
            </w:pP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Приказ Министерства труда и социальной защиты РФ от </w:t>
            </w:r>
            <w:r>
              <w:t>13 февраля 2018</w:t>
            </w:r>
            <w:r w:rsidRPr="00B70232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86</w:t>
            </w:r>
            <w:r w:rsidRPr="00B70232">
              <w:rPr>
                <w:sz w:val="22"/>
                <w:szCs w:val="22"/>
              </w:rPr>
              <w:t>н, индивидуальные параметры получателя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63364" w:rsidRPr="00B70232" w:rsidRDefault="00663364" w:rsidP="00C47BF3">
            <w:pPr>
              <w:snapToGrid w:val="0"/>
              <w:spacing w:line="240" w:lineRule="atLeast"/>
              <w:jc w:val="center"/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trHeight w:val="325"/>
          <w:jc w:val="center"/>
        </w:trPr>
        <w:tc>
          <w:tcPr>
            <w:tcW w:w="640" w:type="dxa"/>
            <w:vMerge/>
            <w:shd w:val="clear" w:color="auto" w:fill="auto"/>
          </w:tcPr>
          <w:p w:rsidR="00663364" w:rsidRPr="00B70232" w:rsidRDefault="00663364" w:rsidP="00C47BF3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63364" w:rsidRPr="00B70232" w:rsidRDefault="00663364" w:rsidP="00C47BF3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63364" w:rsidRPr="00B70232" w:rsidRDefault="00663364" w:rsidP="00C47BF3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663364" w:rsidRPr="00B70232" w:rsidRDefault="00663364" w:rsidP="00C47BF3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63364" w:rsidRPr="00B70232" w:rsidRDefault="00663364" w:rsidP="00C47BF3">
            <w:pPr>
              <w:pStyle w:val="a7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63364" w:rsidRDefault="00663364" w:rsidP="00C47BF3">
            <w:pPr>
              <w:suppressAutoHyphens/>
              <w:spacing w:line="240" w:lineRule="atLeast"/>
              <w:jc w:val="center"/>
            </w:pPr>
          </w:p>
        </w:tc>
      </w:tr>
      <w:tr w:rsidR="00663364" w:rsidRPr="00B70232" w:rsidTr="00C47BF3">
        <w:trPr>
          <w:jc w:val="center"/>
        </w:trPr>
        <w:tc>
          <w:tcPr>
            <w:tcW w:w="8789" w:type="dxa"/>
            <w:gridSpan w:val="5"/>
            <w:shd w:val="clear" w:color="auto" w:fill="auto"/>
          </w:tcPr>
          <w:p w:rsidR="00663364" w:rsidRPr="00B70232" w:rsidRDefault="00663364" w:rsidP="00C47BF3">
            <w:pPr>
              <w:widowControl w:val="0"/>
              <w:suppressAutoHyphens/>
              <w:snapToGrid w:val="0"/>
              <w:jc w:val="center"/>
            </w:pPr>
            <w:r w:rsidRPr="00B70232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63364" w:rsidRPr="00476E4A" w:rsidRDefault="00663364" w:rsidP="00C47BF3">
            <w:pPr>
              <w:jc w:val="center"/>
            </w:pPr>
            <w:r w:rsidRPr="00476E4A">
              <w:rPr>
                <w:b/>
                <w:bCs/>
                <w:sz w:val="22"/>
                <w:szCs w:val="22"/>
              </w:rPr>
              <w:t>2 252 489</w:t>
            </w:r>
          </w:p>
        </w:tc>
      </w:tr>
    </w:tbl>
    <w:p w:rsidR="00663364" w:rsidRPr="00FD46D0" w:rsidRDefault="00663364" w:rsidP="00663364">
      <w:pPr>
        <w:pStyle w:val="a6"/>
        <w:ind w:firstLine="567"/>
        <w:jc w:val="both"/>
        <w:rPr>
          <w:sz w:val="24"/>
        </w:rPr>
      </w:pPr>
      <w:r w:rsidRPr="00FD46D0">
        <w:rPr>
          <w:sz w:val="24"/>
        </w:rPr>
        <w:t>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663364" w:rsidRPr="005269A8" w:rsidRDefault="00663364" w:rsidP="00663364">
      <w:pPr>
        <w:pStyle w:val="a6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внешнему виду.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663364" w:rsidRPr="005269A8" w:rsidRDefault="00663364" w:rsidP="00663364">
      <w:pPr>
        <w:pStyle w:val="a6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безопасности товара.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нормативам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</w:p>
    <w:p w:rsidR="00663364" w:rsidRPr="005269A8" w:rsidRDefault="00663364" w:rsidP="00663364">
      <w:pPr>
        <w:pStyle w:val="a6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 xml:space="preserve">Подгузники для взрослых 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обеспечивающую сохранность абсорбирующего белья, подгузников при транспортировке и хранении. Швы в пакетах из полимерной пленки должны быть заварены. 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lastRenderedPageBreak/>
        <w:t>Не допускается механическое повреждение упаковки, открывающее доступ к поверхности абсорбирующего белья, подгузника.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Маркировка на потребительской упаковке абсорбирующего белья, подгузников должна содержать: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страны-изготовителя;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правила по применению (в виде рисунков или текста);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 xml:space="preserve">- информацию о наличии специальных ингредиентов;   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отличительные характеристики подгузника в соответствии с техническим исполнением (в виде рисунков и/или текста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номер артикула (при наличии);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количество в упаковке;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дату (месяц, год) изготовления;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срок годности, устанавливаемый изготовителем;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обозначение ГОСТ Р 55082-2012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- штриховой код (при наличии).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Маркировка должна быть нанесена на русском языке.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Транспортировка изделий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 серии ГОСТ ISO 10993-1-2011 «Изделия медицинские. Оценка биологического действия медицинских изделий» ГОСТ 31214-2003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пирогенность», ГОСТ Р 55082-2012 «Изделия бумажные медицинского назначения. Подгузники для взрослых. Общие технические условия».</w:t>
      </w:r>
    </w:p>
    <w:p w:rsidR="00663364" w:rsidRPr="005269A8" w:rsidRDefault="00663364" w:rsidP="00663364">
      <w:pPr>
        <w:pStyle w:val="a6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приемке товара.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Для проведения испытаний, случайным образом от партии отбирают не менее 21 единицы изделий, не менее чем из 3х индивидуальных потребительских упаковок. 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>По результатам верификации Заказчиком принимается решение о приемке партии либо о ее возврате Поставщику.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lastRenderedPageBreak/>
        <w:t>В случае принятия решения Заказчиком о приемке товара Поставщик обязан возместить Заказчику количество изделий, изъятых для экспертизы в полном объеме.</w:t>
      </w:r>
    </w:p>
    <w:p w:rsidR="00663364" w:rsidRPr="005269A8" w:rsidRDefault="00663364" w:rsidP="00663364">
      <w:pPr>
        <w:pStyle w:val="a6"/>
        <w:ind w:firstLine="567"/>
        <w:jc w:val="both"/>
        <w:rPr>
          <w:sz w:val="24"/>
        </w:rPr>
      </w:pPr>
      <w:r w:rsidRPr="005269A8">
        <w:rPr>
          <w:sz w:val="24"/>
        </w:rPr>
        <w:t xml:space="preserve">В случае, если по результатам верификации качество товара признается не соответствующим требованиям, установленным в техническом задании, и утвержденным национальным стандартам,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 за собственный счет. </w:t>
      </w:r>
    </w:p>
    <w:p w:rsidR="00663364" w:rsidRPr="005269A8" w:rsidRDefault="00663364" w:rsidP="00663364">
      <w:pPr>
        <w:widowControl w:val="0"/>
        <w:jc w:val="both"/>
        <w:rPr>
          <w:bCs/>
        </w:rPr>
      </w:pPr>
      <w:r w:rsidRPr="005269A8"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 одностороннем порядке, о чем письменно уведомляет Поставщика.</w:t>
      </w:r>
    </w:p>
    <w:p w:rsidR="00663364" w:rsidRPr="00FD46D0" w:rsidRDefault="00663364" w:rsidP="00663364">
      <w:pPr>
        <w:pStyle w:val="a6"/>
        <w:numPr>
          <w:ilvl w:val="0"/>
          <w:numId w:val="2"/>
        </w:numPr>
        <w:rPr>
          <w:sz w:val="24"/>
          <w:lang w:eastAsia="ar-SA"/>
        </w:rPr>
      </w:pPr>
      <w:r w:rsidRPr="00FD46D0">
        <w:rPr>
          <w:b/>
          <w:sz w:val="24"/>
        </w:rPr>
        <w:t>Документы, подтверждающие качество (соответствие) товара.</w:t>
      </w:r>
    </w:p>
    <w:p w:rsidR="00663364" w:rsidRPr="001103E5" w:rsidRDefault="00663364" w:rsidP="00663364">
      <w:pPr>
        <w:pStyle w:val="a6"/>
        <w:ind w:firstLine="567"/>
        <w:jc w:val="both"/>
        <w:rPr>
          <w:sz w:val="24"/>
        </w:rPr>
      </w:pPr>
      <w:r w:rsidRPr="001103E5">
        <w:rPr>
          <w:sz w:val="24"/>
        </w:rPr>
        <w:t xml:space="preserve">Поставить подгузники (далее - Изделия) для детей-инвалидов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663364" w:rsidRPr="001103E5" w:rsidRDefault="00663364" w:rsidP="00663364">
      <w:pPr>
        <w:pStyle w:val="a6"/>
        <w:ind w:firstLine="567"/>
        <w:jc w:val="both"/>
        <w:rPr>
          <w:sz w:val="24"/>
        </w:rPr>
      </w:pPr>
      <w:r w:rsidRPr="001103E5"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D17C59" w:rsidRDefault="00D17C59">
      <w:bookmarkStart w:id="0" w:name="_GoBack"/>
      <w:bookmarkEnd w:id="0"/>
    </w:p>
    <w:sectPr w:rsidR="00D1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84" w:rsidRDefault="00D63A84" w:rsidP="00663364">
      <w:pPr>
        <w:spacing w:after="0" w:line="240" w:lineRule="auto"/>
      </w:pPr>
      <w:r>
        <w:separator/>
      </w:r>
    </w:p>
  </w:endnote>
  <w:endnote w:type="continuationSeparator" w:id="0">
    <w:p w:rsidR="00D63A84" w:rsidRDefault="00D63A84" w:rsidP="0066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84" w:rsidRDefault="00D63A84" w:rsidP="00663364">
      <w:pPr>
        <w:spacing w:after="0" w:line="240" w:lineRule="auto"/>
      </w:pPr>
      <w:r>
        <w:separator/>
      </w:r>
    </w:p>
  </w:footnote>
  <w:footnote w:type="continuationSeparator" w:id="0">
    <w:p w:rsidR="00D63A84" w:rsidRDefault="00D63A84" w:rsidP="00663364">
      <w:pPr>
        <w:spacing w:after="0" w:line="240" w:lineRule="auto"/>
      </w:pPr>
      <w:r>
        <w:continuationSeparator/>
      </w:r>
    </w:p>
  </w:footnote>
  <w:footnote w:id="1">
    <w:p w:rsidR="00663364" w:rsidRPr="004D2FEC" w:rsidRDefault="00663364" w:rsidP="0066336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  <w:rFonts w:eastAsia="Calibri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663364" w:rsidRDefault="00663364" w:rsidP="00663364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9A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CC22A78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4"/>
    <w:rsid w:val="00663364"/>
    <w:rsid w:val="00D17C59"/>
    <w:rsid w:val="00D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A0C6-AF66-49BF-B78B-852C8D9C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364"/>
    <w:pPr>
      <w:jc w:val="center"/>
    </w:pPr>
    <w:rPr>
      <w:b/>
      <w:sz w:val="26"/>
      <w:szCs w:val="20"/>
    </w:rPr>
  </w:style>
  <w:style w:type="character" w:customStyle="1" w:styleId="a4">
    <w:name w:val="Заголовок Знак"/>
    <w:basedOn w:val="a0"/>
    <w:link w:val="a3"/>
    <w:rsid w:val="006633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footnote reference"/>
    <w:aliases w:val="Ссылка на сноску 45"/>
    <w:rsid w:val="00663364"/>
    <w:rPr>
      <w:vertAlign w:val="superscript"/>
    </w:rPr>
  </w:style>
  <w:style w:type="paragraph" w:styleId="a6">
    <w:name w:val="No Spacing"/>
    <w:uiPriority w:val="1"/>
    <w:qFormat/>
    <w:rsid w:val="0066336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663364"/>
    <w:pPr>
      <w:suppressLineNumbers/>
      <w:suppressAutoHyphens/>
      <w:spacing w:after="0" w:line="24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 Юлия Михайловна</dc:creator>
  <cp:keywords/>
  <dc:description/>
  <cp:lastModifiedBy>Гайдукова Юлия Михайловна</cp:lastModifiedBy>
  <cp:revision>1</cp:revision>
  <dcterms:created xsi:type="dcterms:W3CDTF">2018-09-17T11:29:00Z</dcterms:created>
  <dcterms:modified xsi:type="dcterms:W3CDTF">2018-09-17T11:29:00Z</dcterms:modified>
</cp:coreProperties>
</file>